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ACJC/1134/2024 vom 18. September 2024</w:t>
      </w:r>
    </w:p>
    <w:p>
      <w:r>
        <w:t>GE Cour de justice, 2024-09-18, FR</w:t>
      </w:r>
    </w:p>
    <w:p>
      <w:r>
        <w:rPr>
          <w:b/>
        </w:rPr>
        <w:t xml:space="preserve">Quelle: </w:t>
      </w:r>
      <w:r>
        <w:t>https://mcp.opencaselaw.ch/entscheid/ge_gerichte_ACJC_1134_2024</w:t>
      </w:r>
    </w:p>
    <w:p>
      <w:r>
        <w:t>FR: GE_GERICHTE ACJC/1134/2024 du 18 septembre 2024</w:t>
      </w:r>
    </w:p>
    <w:p>
      <w:r>
        <w:t>IT: GE_GERICHTE ACJC/1134/2024 del 18 settembre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local litigieux, charges comprises, s'élève à 21'120 fr. En prenant en compte la période de protection de trois ans d’une part, et la reconduction du bail de cinq ans en cinq ans d’autre part, la valeur litigieuse est largement supérieure à 10'000 fr.</w:t>
      </w:r>
    </w:p>
    <w:p>
      <w:r>
        <w:rPr>
          <w:b/>
        </w:rPr>
        <w:t>E. 1.3</w:t>
      </w:r>
    </w:p>
    <w:p>
      <w:r>
        <w:t>L'appel a été interjeté dans le délai et suivant la forme prescrite par la loi (art. 130, 131, 311 al. 1 CPC). Il est ainsi recevable.</w:t>
      </w:r>
    </w:p>
    <w:p>
      <w:r>
        <w:t>- 5/9 -</w:t>
      </w:r>
    </w:p>
    <w:p>
      <w:r>
        <w:t>C/10860/2021</w:t>
      </w:r>
    </w:p>
    <w:p>
      <w:r>
        <w:rPr>
          <w:b/>
        </w:rPr>
        <w:t>E. 2</w:t>
      </w:r>
    </w:p>
    <w:p>
      <w:r>
        <w:t>Le Tribunal a retenu que le motif du congé résidait dans le fait que le locataire et son épouse étaient domiciliés à l’adresse du cabinet médical, alors que les locaux n'étaient pas destinés à l’habitation. L’intimé avait démontré à satisfaction de droit que la domiciliation de sa famille à l’adresse de son cabinet médical était uniquement motivée pour des raisons administratives et que toute sa famille habitait en France voisine. L’intimé avait également démontré que les locaux loués étaient bel et bien exploités en tant que cabinet médical. La problématique de la domiciliation de l’intimé ne relevait pas de la relation entre le bailleur et le locataire. L’appelante reproche au Tribunal d’avoir omis de retenir que E______ et D______ avaient tous deux constaté que les locaux étaient habités, à tout le moins partiellement. Les témoignages des quatre patients de l’intimé n’éteint pas probants, car aucun d’entre eux n’avaient rencontré les membres de la famille de ce dernier dans sa villa de G______. Les avis de taxation dont faisait état le Tribunal dans la partie en fait du jugement entrepris étaient antérieurs à la résiliation litigieuse et portaient sur la taxe d'habitation et la taxe foncière qui sont également prélevées pour les résidences secondaires. Enfin, les attestations de l’OCPM prouvaient que l’intimé ne faisait pas un usage conforme des locaux.</w:t>
      </w:r>
    </w:p>
    <w:p>
      <w:r>
        <w:rPr>
          <w:b/>
        </w:rPr>
        <w:t>E. 2.1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2.2</w:t>
      </w:r>
    </w:p>
    <w:p>
      <w:r>
        <w:t>La Cour constate en l’espèce que les photographies versées à la procédure n’établissent pas la présence d’une douche dans les locaux loués contrairement à ce qu’a indiqué E______. En tout état de cause, ce seul élément ne suffit pas à admettre que l'intimé est domicilié dans son cabinet médical. Selon ces mêmes photographies, la cuisine et l’endroit pour dormir décrits par D______ consistent en un four micro-ondes et une banquette dans la pièce côté cour. L’intimé a confirmé qu’il s’agissait d’un petit sofa où il lui arrivait de se reposer et de boire le café, ce qui n’est pas suffisant pour retenir que l’intimé ou des membres de sa famille habiteraient effectivement dans le cabinet médical. Les quatre témoins entendus par le Tribunal sur requête de l’intimé ont de plus confirmé que ce dernier habitait en France. Trois d’entre eux ont indiqué s’être rendus sur place et J______ a déclaré avoir réalisé des travaux de peinture dans la chambre de la fille de l’intimé. Le fait qu’aucun des témoins n’ait rencontré la famille de l’intimé sur place ne suffit pas à établir qu’un membre de la famille habiterait dans le cabinet médical. De même, le fait que les avis de taxation français produits par l’intimé portent sur la taxe foncière et la taxe d’habitation, également perçues pour les résidences secondaires, ne prouvent pas non plus que</w:t>
      </w:r>
    </w:p>
    <w:p>
      <w:r>
        <w:t>- 6/9 -</w:t>
      </w:r>
    </w:p>
    <w:p>
      <w:r>
        <w:t>C/10860/2021 le cabinet médical ait effectivement été affecté, ne serait-ce que partiellement, au logement de l’intimé et de sa famille. De plus, les avis de taxation produits par l’intimé sont effectivement antérieurs à la résiliation litigieuse, ce qui n’est pas critiquable. Au contraire, ceux-ci démontrent que la situation dont se prévaut l’intimé existait déjà avant la survenance du litige entre les parties. Enfin, les attestations de l’OCPM indiquant que l’intimé et son épouse sont domiciliés à l’adresse des locaux loués ne suffisent pas à établir que l’intimé ou sa famille ait effectivement habité dans les locaux litigieux. L’intimé a exposé de manière convaincante que cette domiciliation visait exclusivement à permettre à ses enfants de poursuivre leur scolarité à Genève, malgré leur déménagement en France, ce que l’appelante a implicitement reconnu lors des plaidoiries finales en indiquant que les locaux étaient utilisés pour domicilier fictivement l’intimé, son épouse et ses trois enfants. Ce grief sera donc écarté et le jugement confirmé sur ce point.</w:t>
      </w:r>
    </w:p>
    <w:p>
      <w:r>
        <w:rPr>
          <w:b/>
        </w:rPr>
        <w:t>E. 3</w:t>
      </w:r>
    </w:p>
    <w:p>
      <w:r>
        <w:t>Dans un second grief, l’appelante reproche au Tribunal d’avoir considéré à tort que le congé du 7 mai 2021 était dépourvu de motif valable. La résiliation était motivée par l’affectation partielle des locaux loués à l’habitation, alors que leur destination était contractuellement limitée à l'exploitation d'un cabinet médical. De plus, les locaux étaient également utilisés pour domicilier fictivement en Suisse l’intimé, son épouse et leurs trois enfants.</w:t>
      </w:r>
    </w:p>
    <w:p>
      <w:r>
        <w:rPr>
          <w:b/>
        </w:rPr>
        <w:t>E. 3.1</w:t>
      </w:r>
    </w:p>
    <w:p>
      <w:r>
        <w:t>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3.2.1; 140 III 496 consid. 4.1), pour des motifs économiques (comme optimiser son rendement dans les limites fixées par la loi; ATF 136 III 74 consid. 2.1; 120 II 105 consid. 3b/bb; arrêts du Tribunal fédéral 4A_293/2016 précité consid. 5.2.1 et 5.2.3, non publiés in ATF 143 III 15; 4A_69/2021 précité consid. 4.1.3; 4A_19/2016 précité consid. 4.2; 4A_475/2015 du 19 mai 2016 consid. 4.1 et 4.3) ou encore pour utiliser les locaux lui-même ou pour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148 III 215 consid. 3.1.2; 140 III 496 consid. 4.1; 138 III 59 consid. 2.1; arrêts du Tribunal fédéral 4A_293/2016 précité consid. 5.2.2, non publié in ATF 143 III 15; 4A_69/2021 précité consid. 4.1.2; 4A_113/2019 précité consid. 3; 4A_19/2016 précité consid. 2.2; 4A_290/2015 du 9 septembre 2015 consid. 4.1).</w:t>
      </w:r>
    </w:p>
    <w:p>
      <w:r>
        <w:t>- 7/9 -</w:t>
      </w:r>
    </w:p>
    <w:p>
      <w:r>
        <w:t>C/10860/2021 La protection conférée par les art. 271 et 271a CO procède à la fois du principe de la bonne foi (art. 2 al. 1 CC) et de l'interdiction de l'abus de droit (art. 2 al. 2 CC) (ATF 148 III 215 consid. 3.1.2; arrêts du Tribunal fédéral 4A_69/2021 précité consid. 4.1.2; 4A_113/2019 précité consid. 3).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215 consid. 3.1.2;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Pour pouvoir examiner si le congé ordinaire contrevient ou non aux règles de la bonne foi (art. 271 et 271a CO), il faut déterminer quel est le motif de congé invoqué par le bailleur dans l'avis de résiliation et si le motif est réel (arrêt du Tribunal fédéral 4A_19/2016 précité consid 2.2).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145 III 143 consid. 3.1; 138 III 59 consid. 2.1; arrêt du Tribunal fédéral 4A_236/2022 du 24 juin 2022, consid. 3.1). Pour être conformes aux règles de la bonne foi, les motifs du congé doivent être vrais (Lachat/Grobet-Thorens/Rubli/Stastny, Le bail à loyer, 2ème édition, 2019, Lausanne, p. 955). Le bailleur est lié par les motifs qu'il a donnés, mais il peut toujours compléter sa motivation ultérieurement, étant précisé que, pour déterminer la validité de la résiliation, le juge doit se placer au moment où celle-ci</w:t>
      </w:r>
    </w:p>
    <w:p>
      <w:r>
        <w:t>- 8/9 -</w:t>
      </w:r>
    </w:p>
    <w:p>
      <w:r>
        <w:t>C/10860/2021 a été notifiée (ACJC/498/2022 du 11.04.2022 consid. 2.1; Conod, Droit du bail à loyer et à ferme, 2ème éd. 2017, n. 41 et 47 ad art. 271 CO).</w:t>
      </w:r>
    </w:p>
    <w:p>
      <w:r>
        <w:rPr>
          <w:b/>
        </w:rPr>
        <w:t>E. 3.2</w:t>
      </w:r>
    </w:p>
    <w:p>
      <w:r>
        <w:t>En l’espèce, il résulte du dossier que l’intimé a démontré qu’il habite avec sa famille en France voisine et que les locaux sont effectivement exploités en tant que cabinet médical conformément à leur destination. Le fait qu’un canapé-lit, de la nourriture et des habits se trouvent dans la cuisine est parfaitement normal, l’intimé étant en droit de se reposer et de se restaurer entre deux consultations de patients. Le motif du congé, à savoir le fait que l’intimé n’exploitait pas les locaux conformément à leur destination n’est donc pas vrai. Conformément à la jurisprudence, le Tribunal pouvait dès lors retenir que le congé n’était pas conforme aux règles de la bonne foi. Ce n’est qu’au stade des plaidoiries finales que l’appelante a allégué pour la première fois qu’elle ne pouvait tolérer que les locaux servent également à « tromper les autorités administratives ». Or l’appelante a initialement motivé son congé par l’utilisation partielle des locaux à des fins d’habitation. Alléguer par la suite que la résiliation a été signifiée, car les locaux servent à « tromper les autorités administratives » en permettant à l’intimé et son épouse de se domicilier administrativement à Genève, n’est pas une simple précision de la motivation antérieure de l’appelante, mais un motif nouveau qui ne saurait être retenu. Ce nouveau motif invoqué pour la première fois au stade des plaidoiries finales est tardif. Comme l’a relevé le Tribunal, cette question n’est au demeurant pas pertinente pour l’issue du litige, car elle relève de la relation entre l’intimé et l’administration. Le bailleur ne saurait dès lors s’en prévaloir pour justifier la résiliation de bail litigieuse. Ce grief sera donc également écarté et l’annulation de la résiliation confirmée.</w:t>
      </w:r>
    </w:p>
    <w:p>
      <w:r>
        <w:rPr>
          <w:b/>
        </w:rPr>
        <w:t>E. 4</w:t>
      </w:r>
    </w:p>
    <w:p>
      <w:r>
        <w:t>Vu l’annulation du congé, l’appelante sera également déboutée de ses conclusions en évacuation de l’intimé et en condamnation en paiement d’indemnité illicite.</w:t>
      </w:r>
    </w:p>
    <w:p>
      <w:r>
        <w:rPr>
          <w:b/>
        </w:rPr>
        <w:t>E. 5</w:t>
      </w:r>
    </w:p>
    <w:p>
      <w:r>
        <w:t>A teneur de l'art. 22 al. 1 LaCC, il n'est pas prélevé de frais dans les causes soumises à la juridiction des baux et loyers (ATF 139 III 182 consid. 2.6). * * * * *</w:t>
      </w:r>
    </w:p>
    <w:p>
      <w:r>
        <w:t>- 9/9 -</w:t>
      </w:r>
    </w:p>
    <w:p>
      <w:r>
        <w:t>C/10860/2021 PAR CES MOTIFS, La Chambre des baux et loyers :</w:t>
      </w:r>
    </w:p>
    <w:p>
      <w:r>
        <w:t>A la forme : Déclare recevable l'appel interjeté le 12 octobre 2023 par A______ SA contre le jugement JTBL/709/2023 rendue le 5 septembre 2023 par le Tribunal des baux et loyers dans la cause C/10860/2021. Au fond : Confirme le jugement entrepris. Dit que la procédure est gratuite. Déboute les parties de toutes autres conclusions.</w:t>
      </w:r>
    </w:p>
    <w:p>
      <w:r>
        <w:t>Siégeant : Monsieur Ivo BUETTI président; Madame Pauline ERARD et Madame Fabienne GEISINGER-MARIETHOZ, juges; Monsieur Jean-Philippe ANTHONIOZ et Monsieur Damien TOURNAIRE,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