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ACJC/1130/2015 vom 17. Juni 2015</w:t>
      </w:r>
    </w:p>
    <w:p>
      <w:r>
        <w:t>GE Cour de justice, 2015-06-17, FR</w:t>
      </w:r>
    </w:p>
    <w:p>
      <w:r>
        <w:rPr>
          <w:b/>
        </w:rPr>
        <w:t xml:space="preserve">Quelle: </w:t>
      </w:r>
      <w:r>
        <w:t>https://mcp.opencaselaw.ch/entscheid/ge_gerichte_ACJC_1130_2015</w:t>
      </w:r>
    </w:p>
    <w:p>
      <w:r>
        <w:t>FR: GE_GERICHTE ACJC/1130/2015 du 17 juin 2015</w:t>
      </w:r>
    </w:p>
    <w:p>
      <w:r>
        <w:t>IT: GE_GERICHTE ACJC/1130/2015 del 17 giugno 2015</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- 5/11 -</w:t>
      </w:r>
    </w:p>
    <w:p>
      <w:r>
        <w:t>C/22373/2014</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1.4</w:t>
      </w:r>
    </w:p>
    <w:p>
      <w:r>
        <w:t>Les conclusions, allégations de faits et preuves nouvelles sont irrecevables, sauf exception prévue par la loi (art. 326 CPC). Aucune exception légale n'étant réalisée en l'espèce, les pièces nouvelles produites par la recourante sont dès lors irrecevables, de même que les allégations de fait y relatives.</w:t>
      </w:r>
    </w:p>
    <w:p>
      <w:r>
        <w:rPr>
          <w:b/>
        </w:rPr>
        <w:t>E. 2</w:t>
      </w:r>
    </w:p>
    <w:p>
      <w:r>
        <w:t>L'intimé conclut préalablement à ce que les pièces 7 et 14 produites par la recourante soient écartées de la procédure au motif qu'elles sont rédigées en anglais.</w:t>
      </w:r>
    </w:p>
    <w:p>
      <w:r>
        <w:rPr>
          <w:b/>
        </w:rPr>
        <w:t>E. 2.1</w:t>
      </w:r>
    </w:p>
    <w:p>
      <w:r>
        <w:t>Selon l'art. 129 CPC, la procédure est conduite dans la langue officielle du canton dans lequel l'affaire est jugée. Si une partie procède dans une autre langue, un délai doit alors lui être imparti en vertu de l'art. 132 CPC pour procéder dans la langue officielle. Si, dans le délai imparti par le tribunal, la traduction n'a pas lieu, l'acte n'est pas pris en considération (arrêt du Tribunal fédéral 4A_246/2013 du 8 juillet 2013). Si l'on doit exiger que les écritures des parties soient rédigées dans la langue officielle, l'on peut se montrer plus souple en ce qui concerne les titres produits en procédure (HALDY, Code de procédure civile commenté, 2011, n. 3 et 4 ad art. 129 CPC). En effet, les règles légales doivent être interprétées conformément à leur sens et leur but, en s'inspirant également des principes constitutionnels, qui prohibent notamment le formalisme excessif. Lorsqu'une partie produit un document relativement long et qu'il est indiscutable que seul un passage est utile pour la décision à rendre, on ne voit pas que la partie adverse puisse exiger la traduction des passages qui sont manifestement sans pertinence; une telle exigence n'aurait aucun sens; elle ne répondrait à aucun intérêt légitime et compliquerait inutilement la mise en oeuvre du droit. Il n'en demeure pas moins qu'il faut avoir la certitude raisonnable que tous les passages pertinents ont été traduits; une partie</w:t>
      </w:r>
    </w:p>
    <w:p>
      <w:r>
        <w:t>- 6/11 -</w:t>
      </w:r>
    </w:p>
    <w:p>
      <w:r>
        <w:t>C/22373/2014 ne pourrait pas, par une traduction sélective, dénaturer le sens d'un document sur les points pertinents (ATF 128 I 273 consid. 2.2).</w:t>
      </w:r>
    </w:p>
    <w:p>
      <w:r>
        <w:rPr>
          <w:b/>
        </w:rPr>
        <w:t>E. 2.2</w:t>
      </w:r>
    </w:p>
    <w:p>
      <w:r>
        <w:t>En l'espèce, la pièce 7 recourante est le contrat de prêt du 28 janvier 2013 et la pièce 14 le protocole signé par les parties en juillet 2014. La recourante a fourni dans ses écritures des traductions des passages dont elle se prévaut. L'intimé ne prétend pas qu'il ne maîtrise pas l'anglais et n'indique pas de quel autre passage des pièces en question il souhaiterait obtenir la traduction. Il n'allègue au demeurant pas qu'il n'a pas compris la teneur de ces pièces. Il n'a d'ailleurs jamais, ni en première instance, ni devant la Cour, demandé la traduction des pièces précitées. La Cour estime que les traductions fournies par la recourante sont suffisantes pour trancher le litige au regard des exigences jurisprudentielles rappelées ci-dessus. Il n'y a par conséquent pas lieu d'impartir à la recourante un délai supplémentaire pour produire des traductions. Il n'y a pas non plus lieu d'écarter les pièces litigieuses de la procédure, ces pièces ne sont au demeurant pas nouvelles.</w:t>
      </w:r>
    </w:p>
    <w:p>
      <w:r>
        <w:rPr>
          <w:b/>
        </w:rPr>
        <w:t>E. 3</w:t>
      </w:r>
    </w:p>
    <w:p>
      <w:r>
        <w:t>La recourante fait valoir que l'engagement signé en juillet 2014 par B______ de rembourser la dette de C______ constitue une reconnaissance de dette au sens de l'art. 82 LP. L'intimé soutient quant à lui que cet engagement constitue un cautionnement au sens de l'art. 493 al. 2 CO et qu'il est nul à défaut de revêtir la forme authentique.</w:t>
      </w:r>
    </w:p>
    <w:p>
      <w:r>
        <w:rPr>
          <w:b/>
        </w:rPr>
        <w:t>E. 3.1</w:t>
      </w:r>
    </w:p>
    <w:p>
      <w:r>
        <w:t>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w:t>
      </w:r>
    </w:p>
    <w:p>
      <w:r>
        <w:t>- 7/11 -</w:t>
      </w:r>
    </w:p>
    <w:p>
      <w:r>
        <w:t>C/22373/2014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Conformément à l'art. 82 al. 2 LP, le poursuivi peut faire échec à la mainlevée en rendant immédiatement vraisemblable ses moyens libératoires (ATF 132 III 140 consid. 4.1.1 et les références citées; arrêt du Tribunal fédéral 5A_878/2011 du</w:t>
      </w:r>
    </w:p>
    <w:p>
      <w:r>
        <w:rPr>
          <w:b/>
        </w:rPr>
        <w:t>E. 3.2</w:t>
      </w:r>
    </w:p>
    <w:p>
      <w:r>
        <w:t>Selon la jurisprudence, une personne peut garantir le paiement d'un tiers débiteur en s'obligeant par un contrat de cautionnement conclu entre lui et le créancier, selon l'art. 492 al. 1 CO. Ce but peut cependant aussi être réalisé avec d'autres instruments juridiques tels que la promesse de porte-fort (art. 111 CO) ou l'engagement solidaire. L'engagement solidaire naît lorsque le garant déclare au créancier qu'il pourra être recherché au même titre et pour les mêmes prestations que le débiteur; ce dernier et le garant sont alors tenus solidairement selon 143 al. 1 CO (ATF 129 III 702 consid. 2.1 p. 704).</w:t>
      </w:r>
    </w:p>
    <w:p>
      <w:r>
        <w:t>- 8/11 -</w:t>
      </w:r>
    </w:p>
    <w:p>
      <w:r>
        <w:t>C/22373/2014 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En optant pour l'une ou l'autre de ces deux garanties-ci, les parties peuvent éviter les difficultés ou inconvénients de la forme authentique et l'obligation du garant n'en est pas moins valable. Si, à ce sujet, une volonté commune des parties ne peut pas être constatée, c'est le principe de la confiance qui détermine le type de garantie adopté par elles. Cependant, compte tenu que, dans le cautionnement, la forme authentique est requise pour la protection du garant contre des engagements auxquels celui-ci n'aurait pas mûrement réfléchi, le juge n'admet qu'avec retenue le choix des parties en faveur de la promesse de porte-fort ou de l'engagement solidaire; dans le doute, indépendamment des termes dans lesquels une personne physique a déclaré qu'elle garantirait l'obligation d'un tiers, cette personne est réputée avoir contracté un cautionnement (ATF 129 III 702 consid. 2.3 et 2.5).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(ATF 129 III 702 consid. 2.6; arrêt du Tribunal fédéral 4C.24/2007 du 26 avril 2007 consid. 5).</w:t>
      </w:r>
    </w:p>
    <w:p>
      <w:r>
        <w:rPr>
          <w:b/>
        </w:rPr>
        <w:t>E. 3.3</w:t>
      </w:r>
    </w:p>
    <w:p>
      <w:r>
        <w:t>En l'espèce, à teneur de l'art. 1.4 du protocole de juillet 2014, B______ s'est engagé conjointement et solidairement avec D______ à rembourser tous les montants dus à A______ par C______. Au 30 juin 2014, ces montants étaient, selon le protocole précité, de 3'417'012 USD au total. Il ressort de la jurisprudence susmentionnée que l'engagement solidaire est admis, à l'exclusion du cautionnement, lorsque le garant a un intérêt direct et matériel dans l'affaire à conclure entre le débiteur et le créancier et que ce dernier a connaissance de cet intérêt. Tel est notamment le cas lorsque l'actionnaire et administrateur d'une société anonyme garantit le remboursement d'un crédit destiné aux opérations de cette société.</w:t>
      </w:r>
    </w:p>
    <w:p>
      <w:r>
        <w:t>- 9/11 -</w:t>
      </w:r>
    </w:p>
    <w:p>
      <w:r>
        <w:t>C/22373/2014 Cette hypothèse est précisément réalisée in casu puisque l'intimé est actionnaire et administrateur de C______ et que le prêt litigieux était destiné à assurer les opérations de cette société. Lors de la signature du contrat de prêt du 28 janvier 2013, l'intimé avait donc un intérêt personnel et matériel à ce que C______ obtienne un financement de la part de la recourante; il n'intercédait pas pour un tiers débiteur, mais agissait aux fins de sa propre activité commerciale. Cet intérêt était reconnaissable pour la recourante, laquelle avait connaissance du fait que l'intimé, au travers de sa société, agissait pour financer ses propres activités. A cet égard, la situation n'avait pas changé au moment de la signature du protocole de juillet 2014. Pour des motifs identiques, l'intimé avait un intérêt personnel et matériel à ce qu'une solution soit trouvée avec les créanciers de C______. L'intimé ne conteste en outre pas les allégations de la recourante selon lesquelles il est un homme d'affaires expérimenté. Rien ne permet ainsi que penser que celui- ci n'a pas compris la portée de ses engagements successifs, en particulier de celui qu'il a pris à l'issue de la réunion du 11 juillet 2014. C'est d'ailleurs lui, en tant qu'administrateur de C______, qui a demandé que cette réunion ait lieu, afin de trouver une solution pour le remboursement de la dette de cette dernière. Il résulte de ce qui précède que l'engagement signé par l'intimé en juillet 2014 n'est pas soumis aux règles du cautionnement de sorte que l'art. 493 al. 2 CO ne fait pas obstacle à sa validité.</w:t>
      </w:r>
    </w:p>
    <w:p>
      <w:r>
        <w:t>Cet engagement correspond bien à la définition d'une reconnaissance de dette au sens de l'art. 82 LP. En effet, d'après l'art. 1.4 du protocole, l'intimé s'est engagé à payer la dette de C______ envers A______, laquelle était, au 30 juin 2014, de 3'417'012 USD.</w:t>
      </w:r>
    </w:p>
    <w:p>
      <w:r>
        <w:t>Ce montant était exigible au 27 août 2014, date de la notification du commandement de payer, en application des articles 3.3 et 3.10 du protocole. Il correspondait à ce moment-là à 3'128'650 fr., selon le cours du jour.</w:t>
      </w:r>
    </w:p>
    <w:p>
      <w:r>
        <w:t>L'intimé n'allègue pas qu'un paiement devant être imputé sur le montant précité aurait été effectué depuis le 30 juin 2014.</w:t>
      </w:r>
    </w:p>
    <w:p>
      <w:r>
        <w:t>Le jugement attaqué sera par conséquent annulé et la mainlevée de l'opposition formée au commandement de payer sera prononcée à hauteur du total des sommes figurant dans ledit commandement de payer (3'117'557 fr.), lesquelles sont inférieures au montant indiqué dans la reconnaissance de dette. 4. Au regard de l'issue du recours, les frais de première instance et ceux du recours doivent être mis à charge de l'intimé qui succombe (art. 106 al. 1 CPC).</w:t>
      </w:r>
    </w:p>
    <w:p>
      <w:r>
        <w:t>- 10/11 -</w:t>
      </w:r>
    </w:p>
    <w:p>
      <w:r>
        <w:t>C/22373/2014 Les frais judiciaires seront fixés à 1'500 fr. pour la procédure de première instance et à 2'250 fr. pour celle de recours, soit 3'750 fr. au total (art. 48 et 61 al. 1 OELP). Ils seront compensés avec les avances fournies par la recourante, l'intimé étant condamné à les verser à celle-ci (art. 111 CPC). Au vu de la valeur litigieuse de 3'117'557 fr., l'intimé sera en outre condamné à verser à la recourante 10'000 fr. au titre des dépens de première instance et 8'000 fr. au titre de ceux du recours, soit 18'000 fr. au total, débours et TVA compris (art. 85, 89 et 90 RTFMC), à savoir un montant réduit en application de l'art. 23 al. 1 LaCC pour tenir compte du travail effectif de l'avocat. * * * * *</w:t>
      </w:r>
    </w:p>
    <w:p>
      <w:r>
        <w:t>- 11/11 -</w:t>
      </w:r>
    </w:p>
    <w:p>
      <w:r>
        <w:t>C/22373/2014 PAR CES MOTIFS, La Chambre civile : A la forme : Déclare recevable le recours interjeté par A______ contre le jugement JTPI/7172/2015 rendu le 17 juin 2015 par le Tribunal de première instance dans la cause C/22373/2014-JS SML. Au fond : Annule ce jugement et, cela fait, statuant à nouveau : Prononce la mainlevée provisoire de l'opposition formée par B______ au commandement de payer poursuite n° 1______. Déboute les parties de toutes autres conclusions. Sur les frais : Arrête les frais judiciaires de première instance et de recours à 3'750 fr. Les met à charge de B______ et dit qu'ils sont compensés avec les avances de frais fournies qui restent acquises à l'Etat de Genève. Condamne B______ à verser 3'750 fr. à A______ au titre des frais judiciaires. Le condamne en outre à lui verser 18'000 fr. au titre des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