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ACJC/1128/2017 vom 28. Juni 2017</w:t>
      </w:r>
    </w:p>
    <w:p>
      <w:r>
        <w:t>GE Cour de justice, 2017-06-28, FR</w:t>
      </w:r>
    </w:p>
    <w:p>
      <w:r>
        <w:rPr>
          <w:b/>
        </w:rPr>
        <w:t xml:space="preserve">Quelle: </w:t>
      </w:r>
      <w:r>
        <w:t>https://mcp.opencaselaw.ch/entscheid/ge_gerichte_ACJC_1128_2017</w:t>
      </w:r>
    </w:p>
    <w:p>
      <w:r>
        <w:t>FR: GE_GERICHTE ACJC/1128/2017 du 28 juin 2017</w:t>
      </w:r>
    </w:p>
    <w:p>
      <w:r>
        <w:t>IT: GE_GERICHTE ACJC/1128/2017 del 28 giugno 2017</w:t>
      </w:r>
    </w:p>
    <w:p>
      <w:pPr>
        <w:pStyle w:val="Heading2"/>
      </w:pPr>
      <w:r>
        <w:t>Erwägungen</w:t>
      </w:r>
    </w:p>
    <w:p>
      <w:r>
        <w:rPr>
          <w:b/>
        </w:rPr>
        <w:t>E. 1.1</w:t>
      </w:r>
    </w:p>
    <w:p>
      <w:r>
        <w:t>La présidente de la Cour de justice est compétente pour connaître des recours dirigés contre les décisions rendues en matière d'assistance juridique (art.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Il ne sera pas donné suite à la demande de la recourante tendant à son audition en audience publique, celle-ci n'expliquant ni en quoi une telle audition serait utile pour statuer, ni sur quels points son interrogatoire devrait porter.</w:t>
      </w:r>
    </w:p>
    <w:p>
      <w:r>
        <w:rPr>
          <w:b/>
        </w:rPr>
        <w:t>E. 3.1</w:t>
      </w:r>
    </w:p>
    <w:p>
      <w:r>
        <w:t>Avant le 1er janvier 2011, l'octroi de l'assistance juridique civile comme pénale, les modalités de ce dernier et sa révocation, étaient de la compétence du Président du Tribunal de première instance, en application de l'art. 143A de la Loi sur l'organisation judiciaire du 22 novembre 1941 (aLOJ). Les conditions selon lesquelles l'assistance juridique était accordée, refusée ou retirée, ainsi que les droits du défenseur à une indemnisation et au remboursement de ses frais étaient fixés par l'aRAJ. Depuis le 1er janvier 2011, la procédure concernant l'octroi et les modalités de l'assistance juridique pénale sont soumises exclusivement au Code de procédure pénale suisse du 5 octobre 2007 (ci-après : CPP) et à la Loi d'application du code pénal suisse (ci-après : LaCP), le RAJ s'appliquant uniquement à la fixation du montant de l'indemnité due à l'avocat et au défenseur d'office en matière pénale (art. 135 al. 1 CPP). Selon cette nouvelle procédure, le Ministère public ou le tribunal qui statue au fond sont seuls compétents pour fixer l'indemnité due au défenseur d'office à la fin de la procédure (art. 135 al. 2 CPP).</w:t>
      </w:r>
    </w:p>
    <w:p>
      <w:r>
        <w:t>- 4/5 -</w:t>
      </w:r>
    </w:p>
    <w:p>
      <w:r>
        <w:t>AP/552/2006</w:t>
      </w:r>
    </w:p>
    <w:p>
      <w:r>
        <w:rPr>
          <w:b/>
        </w:rPr>
        <w:t>E. 3.2</w:t>
      </w:r>
    </w:p>
    <w:p>
      <w:r>
        <w:t>Le CPP ne prévoit pas de dispositions transitoires spécifiques concernant l'assistance juridique pénale. Selon l'art. 448 al. 2 CPP, les actes de procédure ordonnés ou accomplis avant l'entrée en vigueur du CPP conservent leur validité. En revanche, les procédures pendantes au moment de l'entrée en vigueur du CPP sont soumises au nouveau droit et se poursuivent devant les autorités compétentes selon le nouveau droit, à moins que le CPP n'en dispose autrement (art. 448 al. 1, 449 al. 1 CPP). Par conséquent, en ce qui concerne la fixation de l'indemnité due au défenseur d'office (art. 135, 138 CPP), le nouveau droit s'applique, aussi pour les procédures terminées après le 1er janvier 2011, lorsqu'un cas de défense obligatoire ou d'assistance judiciaire gratuite était déjà terminé à l'entrée en vigueur du CPP, mais qu'aucune décision d'indemnisation n'avait été rendue (SCHMID, Übergangsrecht der Schweizerischen Strafprozessordnung, 2010, n. 142).</w:t>
      </w:r>
    </w:p>
    <w:p>
      <w:r>
        <w:rPr>
          <w:b/>
        </w:rPr>
        <w:t>E. 3.3</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3.4</w:t>
      </w:r>
    </w:p>
    <w:p>
      <w:r>
        <w:t>En l'espèce, bien que la procédure pénale pour laquelle la recourante a été désignée en qualité de défenseur d'office se soit terminée définitivement par arrêt de la Cour correctionnelle du 26 mars 2009, la recourante n'a adressé sa note de frais à l'Assistance juridique qu'en mars 2017. Or, au vu de l'entrée en vigueur du CPP au 1er janvier 2011, et des dispositions transitoires y relatives, la Vice-présidente du Tribunal civil n'était pas l'autorité compétente en matière d'assistance juridique pénale. Il convient dès lors de constater la nullité des décisions rendues par la Vice-présidente du Tribunal civil les 26 mai 2017 (décision de refus de taxer) et 28 juin 2017 (refus de reconsidération) dans la cause AP/552/2006. La recourante sera, partant, invitée à adresser sa note de frais auprès de l'autorité compétente aux fins d'obtenir une décision non viciée.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w:t>
      </w:r>
    </w:p>
    <w:p>
      <w:r>
        <w:t>- 5/5 -</w:t>
      </w:r>
    </w:p>
    <w:p>
      <w:r>
        <w:t>AP/552/2006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