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ACJC/1125/2015 vom 11. Mai 2015</w:t>
      </w:r>
    </w:p>
    <w:p>
      <w:r>
        <w:t>GE Cour de justice, 2015-05-11, FR</w:t>
      </w:r>
    </w:p>
    <w:p>
      <w:r>
        <w:rPr>
          <w:b/>
        </w:rPr>
        <w:t xml:space="preserve">Quelle: </w:t>
      </w:r>
      <w:r>
        <w:t>https://mcp.opencaselaw.ch/entscheid/ge_gerichte_ACJC_1125_2015</w:t>
      </w:r>
    </w:p>
    <w:p>
      <w:r>
        <w:t>FR: GE_GERICHTE ACJC/1125/2015 du 11 mai 2015</w:t>
      </w:r>
    </w:p>
    <w:p>
      <w:r>
        <w:t>IT: GE_GERICHTE ACJC/1125/2015 del 11 maggio 2015</w:t>
      </w:r>
    </w:p>
    <w:p>
      <w:pPr>
        <w:pStyle w:val="Heading2"/>
      </w:pPr>
      <w:r>
        <w:t>Erwägungen</w:t>
      </w:r>
    </w:p>
    <w:p>
      <w:r>
        <w:rPr>
          <w:b/>
        </w:rPr>
        <w:t>E. 1</w:t>
      </w:r>
    </w:p>
    <w:p>
      <w:r>
        <w:t>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w:t>
      </w:r>
    </w:p>
    <w:p>
      <w:r>
        <w:rPr>
          <w:b/>
        </w:rPr>
        <w:t>E. 3</w:t>
      </w:r>
    </w:p>
    <w:p>
      <w:r>
        <w:t>Les conclusions, les allégations de faits et les preuves nouvelles sont irrecevables (art. 326 al. 1 CPC). Cela concerne également les faits survenus après la clôture des débats devant le premier juge, dès lors que la juridiction de recours doit</w:t>
      </w:r>
    </w:p>
    <w:p>
      <w:r>
        <w:t>- 4/6 -</w:t>
      </w:r>
    </w:p>
    <w:p>
      <w:r>
        <w:t>C/22675/2014 statuer sur un état de fait identique à celui soumis à celui-ci (CHAIX, L'apport des faits au procès, in SJ 2009 II 267). Partant, pour examiner si la loi a été violée, la Cour de justice doit se placer dans la situation où se trouvait le premier juge lorsque celui-ci a rendu la décision attaquée.</w:t>
      </w:r>
    </w:p>
    <w:p>
      <w:r>
        <w:t>Les conclusions, les allégués et les pièces nouveaux du recourant sont ainsi irrecevables.</w:t>
      </w:r>
    </w:p>
    <w:p>
      <w:r>
        <w:rPr>
          <w:b/>
        </w:rPr>
        <w:t>E. 4</w:t>
      </w:r>
    </w:p>
    <w:p>
      <w:r>
        <w:t>Dans une argumentation confuse et reposant pour une large part sur ses allégués non recevables, le recourant reproche au Tribunal d'avoir procédé à une constatation inexacte et incomplète des faits pertinents, dans la mesure où cette autorité n'aurait pas mis à profit le temps écoulé entre l'audience et la date de reddition de la décision pour "vérifier [s]es allégations […] et juger leur ampleur". A bien le comprendre, il critique également tant le comportement de l'intimé, qui serait constitutif de formalisme excessif et d'abus manifeste de droit que le Tribunal qui aurait "choisi, par pur formalisme excessif, de se contenter de la production d'une décision "exécutoire" pour n'examiner, au fond, aucun des éléments ou griefs qui mettent fortement en doute la validité de cette décision".</w:t>
      </w:r>
    </w:p>
    <w:p>
      <w:r>
        <w:rPr>
          <w:b/>
        </w:rPr>
        <w:t>E. 4.1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r>
        <w:rPr>
          <w:b/>
        </w:rPr>
        <w:t>E. 4.2</w:t>
      </w:r>
    </w:p>
    <w:p>
      <w:r>
        <w:t>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w:t>
      </w:r>
    </w:p>
    <w:p>
      <w:r>
        <w:t>- 5/6 -</w:t>
      </w:r>
    </w:p>
    <w:p>
      <w:r>
        <w:t>C/22675/2014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rPr>
          <w:b/>
        </w:rPr>
        <w:t>E. 4.3</w:t>
      </w:r>
    </w:p>
    <w:p>
      <w:r>
        <w:t>En l'occurrence, il est établi et non contesté que la décision sur réclamation dirigée contre le bordereau du 30 janvier 2014 n'a pas fait l'objet d'un recours dans les trente jours, de sorte que ce bordereau est entré en force. La qualité de titre de mainlevée définitive, au sens de l'art. 80 LP, dudit bordereau n'est pas non plus remise en cause, à raison.</w:t>
      </w:r>
    </w:p>
    <w:p>
      <w:r>
        <w:t>Le recourant s'est borné à porter à la connaissance du Tribunal l'existence d'une procédure administrative, initiée postérieurement à l'entrée en force de la décision précitée. Il a décrit cette procédure comme un recours contre un refus de demande en révision. Il doit dès lors en être déduit qu'elle a pour objet le droit matériel, lequel excède le pouvoir d'examen du juge de la mainlevée. Le Tribunal n'avait donc ni à investiguer davantage ni à suspendre la cause en raison de la procédure administrative, contrairement à l'avis du recourant.</w:t>
      </w:r>
    </w:p>
    <w:p>
      <w:r>
        <w:t>Le recours est ainsi infondé. Il sera rejeté.</w:t>
      </w:r>
    </w:p>
    <w:p>
      <w:r>
        <w:rPr>
          <w:b/>
        </w:rPr>
        <w:t>E. 5</w:t>
      </w:r>
    </w:p>
    <w:p>
      <w:r>
        <w:t>Le recourant, qui succombe, supportera les frais de son recours (art. 106 al. 1 CPC), arrêtés à 600 fr. (art. 48, 61 OELP), compensés avec l'avance du même montant fournie par lui, acquise à l'Etat (art. 111 al. 1 CPC).</w:t>
      </w:r>
    </w:p>
    <w:p>
      <w:r>
        <w:t>Ni la nature de la cause ni la qualité de l'intimé ne justifient d'allouer de dépens (art. 95 al. let. c CPC). * * * * *</w:t>
      </w:r>
    </w:p>
    <w:p>
      <w:r>
        <w:t>- 6/6 -</w:t>
      </w:r>
    </w:p>
    <w:p>
      <w:r>
        <w:t>C/22675/2014 PAR CES MOTIFS, La Chambre civile : A la forme : Déclare recevable le recours formé le 1er juin 2015 par A______ contre le jugement JTPI/5367/2015 rendu le 11 mai 2015 par le Tribunal de première instance dans la cause C/22675/2014-JS SML. Au fond : Rejette ce recours. Déboute les parties de toutes autres conclusions. Sur les frais : Arrête les frais du recours à 600 fr., couverts par l'avance déjà opérée, acquise à l'ETAT DE GENEVE-Pouvoir judiciaire. Les met à la charge de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