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ACJC/1124/2016 vom 30. August 2016</w:t>
      </w:r>
    </w:p>
    <w:p>
      <w:r>
        <w:t>GE Cour de justice, 2016-08-30, FR</w:t>
      </w:r>
    </w:p>
    <w:p>
      <w:r>
        <w:rPr>
          <w:b/>
        </w:rPr>
        <w:t xml:space="preserve">Quelle: </w:t>
      </w:r>
      <w:r>
        <w:t>https://mcp.opencaselaw.ch/entscheid/ge_gerichte_ACJC_1124_2016</w:t>
      </w:r>
    </w:p>
    <w:p>
      <w:r>
        <w:t>FR: GE_GERICHTE ACJC/1124/2016 du 30 août 2016</w:t>
      </w:r>
    </w:p>
    <w:p>
      <w:r>
        <w:t>IT: GE_GERICHTE ACJC/1124/2016 del 30 agosto 2016</w:t>
      </w:r>
    </w:p>
    <w:p>
      <w:pPr>
        <w:pStyle w:val="Heading2"/>
      </w:pPr>
      <w:r>
        <w:t>Erwägungen</w:t>
      </w:r>
    </w:p>
    <w:p>
      <w:r>
        <w:rPr>
          <w:b/>
        </w:rPr>
        <w:t>E. 1.1</w:t>
      </w:r>
    </w:p>
    <w:p>
      <w:r>
        <w:t>L'appel est recevable pour avoir été interjeté auprès de l'autorité compétente (art. 120 al. 1 let. a LOJ), dans le délai utile de 30 jours et selon la forme prescrite</w:t>
      </w:r>
    </w:p>
    <w:p>
      <w:r>
        <w:t>- 8/16 -</w:t>
      </w:r>
    </w:p>
    <w:p>
      <w:r>
        <w:t>C/9167/2013 par la loi (art. 130, 131 et 311 CPC), contre une décision finale de première instance (art. 308 al. 1 let. a CPC) qui statue sur des conclusions pécuniaires dont la valeur litigieuse est, compte tenu des montants réclamés à l'appelant par l'intimée, supérieure à 10'000 fr. (art. 91 al. 1 et 308 al. 2 CPC).</w:t>
      </w:r>
    </w:p>
    <w:p>
      <w:r>
        <w:rPr>
          <w:b/>
        </w:rPr>
        <w:t>E. 1.2</w:t>
      </w:r>
    </w:p>
    <w:p>
      <w:r>
        <w:t>La Chambre de céans revoit la cause en fait et en droit avec un plein pouvoir d'examen (art. 310 CPC), dans les limites posées par les maximes des débats et de dispositions applicables au présent contentieux (art. 55 al. 1 et 58 al. 1 CPC).</w:t>
      </w:r>
    </w:p>
    <w:p>
      <w:r>
        <w:rPr>
          <w:b/>
        </w:rPr>
        <w:t>E. 2.1</w:t>
      </w:r>
    </w:p>
    <w:p>
      <w:r>
        <w:t>L'appelant reproche au premier juge d'avoir violé les règles en matière d'administration des preuves, notamment les art. 150 al. 1 et 152 al. 1 CPC, en refusant d'ouvrir une instruction sur les faits allégués par ses soins dans son mémoire de réponse, lesquels étaient pertinents pour l'issue du litige, puisqu'ils tendaient à démontrer que l'acheteur proposé par l'intimée ne s'était pas conformé à ses obligations, qu'il était en conséquence fondé à refuser de signer l'acte de vente définitif et que l'intimée a violé son devoir de diligence en choisissant un acquéreur ne respectant pas les conditions convenues dans le protocole d'accord du 3 septembre 2010.</w:t>
      </w:r>
    </w:p>
    <w:p>
      <w:r>
        <w:t>Dans la mesure où l'admission de ce grief aurait pour conséquence d'entraîner la réouverture de la procédure probatoire, voire l'annulation de la décision entreprise et le renvoi de la cause au premier juge pour complément d'instruction (art. 318 al. 1 let. c ch. 2 CPC), il convient de l'examiner en premier lieu.</w:t>
      </w:r>
    </w:p>
    <w:p>
      <w:r>
        <w:rPr>
          <w:b/>
        </w:rPr>
        <w:t>E. 2.2</w:t>
      </w:r>
    </w:p>
    <w:p>
      <w:r>
        <w:t>Toute partie a droit à ce que le juge administre les moyens de preuve adéquats proposés régulièrement et en temps utile (art. 152 al. 1 CPC). Ces moyens doivent être aptes à forger la conviction du magistrat sur la réalité d'un fait pertinent et contesté (art. 150 al. 1 CPC), susceptible d'avoir une incidence sur l'issue du litige (SCHWEIZER, in CPC, Code de procédure civile commenté, BOHNET/HALDY/ JEANDIN/SCHWEIZER/TAPPY [éd.], 2011, n. 8 ad art. 152 CPC).</w:t>
      </w:r>
    </w:p>
    <w:p>
      <w:r>
        <w:t>Le juge peut refuser une mesure probatoire en procédant à une appréciation anticipée des preuves, lorsqu'il estime que le moyen de preuve requis ne pourrait pas fournir la preuve attendue ou qu'il ne serait pas de nature à modifier la conviction acquise sur la base des preuves déjà recueillies (ATF 138 III 374 consid. 4.3.2; 131 III 222 consid. 4.3; 129 III 18 consid. 2.6).</w:t>
      </w:r>
    </w:p>
    <w:p>
      <w:r>
        <w:t>Par ailleurs, en vertu du principe de la bonne foi applicable en procédure (art. 52 CPC), un justiciable ne saurait reprocher à une autorité d'avoir omis d'administrer une mesure probatoire à laquelle il a lui-même renoncé, le cas échéant de manière implicite en ne s'opposant pas à la clôture des enquêtes (ATF 138 III 374 consid. 4.3.2; arrêt du Tribunal fédéral 5A_272/2015 du 7 juillet 2015 consid. 2.2.1).</w:t>
      </w:r>
    </w:p>
    <w:p>
      <w:r>
        <w:t>- 9/16 -</w:t>
      </w:r>
    </w:p>
    <w:p>
      <w:r>
        <w:t>C/9167/2013</w:t>
      </w:r>
    </w:p>
    <w:p>
      <w:r>
        <w:rPr>
          <w:b/>
        </w:rPr>
        <w:t>E. 2.3</w:t>
      </w:r>
    </w:p>
    <w:p>
      <w:r>
        <w:t>En l'espèce, l'appelant n'a, en première instance, proposé qu'une seule mesure probatoire afin de prouver les faits allégués dans son mémoire de réponse, à savoir l'audition des parties.</w:t>
      </w:r>
    </w:p>
    <w:p>
      <w:r>
        <w:t>Les parties ont toutefois déjà eu l'occasion d'exposer leur position devant l'autorité précédente tant par écrit dans leurs mémoires de demande et de réponse, que oralement lors des audiences de débats d'instruction ainsi que de plaidoiries finales. Cette possibilité leur a en outre également été offerte devant la Chambre de céans puisqu'elles ont à nouveau pu présenter leur détermination dans leurs écritures respectives de seconde instance. Or, l'appelant n'explique pas quels éléments complémentaires pertinents pour le sort de la cause l'audition des parties permettrait d'apporter.</w:t>
      </w:r>
    </w:p>
    <w:p>
      <w:r>
        <w:t>En outre, si l'appelant a sollicité l'audition des parties dans le cadre de son mémoire de réponse, il n'a pas réitéré son offre de preuve au cours de la procédure d'instruction menée par le premier juge ni ne s'est opposé à la clôture des enquêtes. Il ne saurait en conséquence, en vertu du principe de la bonne foi, être autorisé, en appel, à se plaindre du refus de ce magistrat de procéder à l'administration de preuves qu'il a sollicitée.</w:t>
      </w:r>
    </w:p>
    <w:p>
      <w:r>
        <w:t>Au vu de ce qui précède, il ne se justifie pas de procéder à des actes d'instruction complémentaires.</w:t>
      </w:r>
    </w:p>
    <w:p>
      <w:r>
        <w:rPr>
          <w:b/>
        </w:rPr>
        <w:t>E. 3</w:t>
      </w:r>
    </w:p>
    <w:p>
      <w:r>
        <w:t>Il n'est à juste titre pas contesté que la convention conclue par les parties en date du 15 avril 2010 constitue un contrat de courtage, par lequel elles sont valablement liées.</w:t>
      </w:r>
    </w:p>
    <w:p>
      <w:r>
        <w:t>Seule est litigieuse la question de savoir si l'appelant est tenu de s'acquitter de la commission prévue dans ce contrat de courtage nonobstant le fait que la vente de son appartement à l'acheteur proposé par l'intimée n'a pas eu lieu. Il importe peu à cet égard de déterminer s'il s'agit en l’espèce d'un courtage d'indication ou de négociation, le droit à la commission étant soumis aux mêmes conditions, quelle que soit la nature du contrat de courtage.</w:t>
      </w:r>
    </w:p>
    <w:p>
      <w:r>
        <w:rPr>
          <w:b/>
        </w:rPr>
        <w:t>E. 4.1</w:t>
      </w:r>
    </w:p>
    <w:p>
      <w:r>
        <w:t>L'appelant soutient que l'intimée ne peut prétendre à une quelconque rémunération dès lors que l'activité qu'elle a déployée n'a pas abouti à la conclusion du contrat de vente et que les conditions posées à l'art. 5 par. 2. du contrat de courtage, lequel lui octroie un droit à la commission convenue indépendamment du succès de son intervention, ne sont pas réunies. L'acquéreur proposé n'a en effet pas respecté les conditions stipulées dans le protocole d'accord du 3 septembre 2010, relativement notamment aux délais fixés et au prix de vente convenu, et a tenté de lui imposer de nouvelles conditions, qui n'avaient été ni prévues ni souhaitées au moment où il avait chargé l'intimée de lui trouver un acquéreur pour son appartement.</w:t>
      </w:r>
    </w:p>
    <w:p>
      <w:r>
        <w:t>- 10/16 -</w:t>
      </w:r>
    </w:p>
    <w:p>
      <w:r>
        <w:t>C/9167/2013</w:t>
      </w:r>
    </w:p>
    <w:p>
      <w:r>
        <w:t>L'appelant soutient également que le premier juge n'a pas correctement interprété l'art. 5 par. 2 du contrat de courtage en retenant que les termes employés dans cet article étaient sans équivoque. Selon lui, si les parties avaient réellement voulu accorder à l'intimée un droit à sa commission en cas de renonciation de la part dudit appelant à la conclusion d'une vente au prix demandé, elles n'auraient pas utilisé une formulation aussi "large" mais auraient au contraire prévu une réglementation détaillée afin d'éviter toute dissension future. Il relève en outre qu'une interprétation de la clause litigieuse dans le sens voulu par l'intimée aurait pour conséquence que celle-ci pourrait prétendre au versement de sa commission alors même que les conditions qu'il a initialement souhaitées n'ont pas été respectées ou que l'acheteur ne s'est conformé à aucune de ses obligations contractuelles autres que celles du paiement du prix et a tenté de lui imposer des conditions non désirées.</w:t>
      </w:r>
    </w:p>
    <w:p>
      <w:r>
        <w:t>4.2.1 L'art. 413 al. 1 CO prévoit que le courtier a droit à son salaire dès que l'indication qu'il a donnée ou la négociation qu'il a conduite aboutit à la conclusion du contrat. Pour prétendre à un salaire, le courtier doit prouver, d'une part, qu'il a agi et, d'autre part, que son intervention a été couronnée de succès (ATF 131 III 268 consid. 5.1.2; 124 III 481 consid. 3a). La naissance du droit du courtier au versement de sa rémunération dépend seulement de la conclusion du contrat principal; il n'est pas tenu compte des efforts déployés ou du temps consacré par le courtier pour exécuter son mandat; seul le rôle que le courtier a joué dans l'aboutissement de l'affaire est déterminant. Le but de l'art. 413 CO est de rémunérer le succès du courtier (arrêts du Tribunal fédéral 4C.278/2004 du 29 décembre 2004 consid. 2.3 et 4C.228/2005 du 25 octobre 2005 consid. 3). Le courtier n'a par ailleurs droit à sa commission que pour autant que le contrat principal conclu soit conforme aux attentes du mandant, en ce sens qu'il permet à ce dernier d'obtenir le résultat économique assigné au courtier par le contrat de courtage (principe d'équivalence). L'application du principe d'équivalence suppose que l'on examine si le contrat effectivement conclu représente la même valeur et peut remplir la même fonction que le contrat souhaité par le mandant. Il suffit cependant que les intentions principales du mandant soient réalisées, de légères différences ou des dérogations de peu d'importance ne devant pas porter préjudice au courtier (arrêt du Tribunal fédéral 4C.334/2000 du 29 janvier 2001 consid. 3b/aa). 4.2.2 L'art. 413 al. 1 CO est de nature dispositive. Les parties peuvent notamment convenir d'une garantie de commission assurant au courtier une rémunération, même si l'affaire n'a pas abouti (ATF 131 III 268 consid. 5.1.2; arrêt du Tribunal fédéral 4C.278/2004 du 29 décembre 2004 consid. 2.3).</w:t>
      </w:r>
    </w:p>
    <w:p>
      <w:r>
        <w:t>- 11/16 -</w:t>
      </w:r>
    </w:p>
    <w:p>
      <w:r>
        <w:t>C/9167/2013 Les clauses de garantie de commission peuvent revêtir différentes formes. Les parties peuvent notamment convenir que le mandant devra s'acquitter en tout ou en partie de la commission s'il refuse de conclure le contrat principal indiqué ou négocié par le courtier. Par ce genre d'accord, le mandant renonce, au moins partiellement, à une de ses principales prérogatives, à savoir celle de refuser, même arbitrairement, le contrat qui lui est proposé par le courtier. En contrepartie, il attend que ce dernier lui fournisse un contrat principal conforme à ses désirs (MARQUIS, Le contrat de courtage immobilier et le salaire du courtier, 1993, p. 469). Le courtier ne peut pas prétendre au versement de sa commission si le contrat refusé par le mandant ne correspond pas à ses attentes (TURRETTINI, Le contrat de courtage et le salaire du courtier, 1952, p. 151).</w:t>
      </w:r>
    </w:p>
    <w:p>
      <w:r>
        <w:t>4.2.3 Confronté à un litige sur l'interprétation d'une clause contractuelle, le juge doit tout d'abord s'efforcer de déterminer la commune et réelle intention des parties, sans s'arrêter aux expressions ou dénominations inexactes dont elles ont pu se servir, soit par erreur, soit pour déguiser la nature véritable de la convention (interprétation subjective; art. 18 al. 1 CO; ATF 135 III 410 consid. 3.2).</w:t>
      </w:r>
    </w:p>
    <w:p>
      <w:r>
        <w:t>Si la volonté réelle des parties ne peut pas être établie ou si leurs volontés intimes divergent, le juge doit apprécier les déclarations faites et les comportements selon la théorie de la confiance. Il doit donc rechercher comment une déclaration ou une attitude pouvait être comprise de bonne foi en fonction de l'ensemble des circonstances (interprétation dite objective; ATF 133 III 675 consid. 3.3.). Sont déterminantes les circonstances qui ont précédé ou accompagné la manifestation de volonté, mais non pas les événements postérieurs (ATF 136 III 186 consid. 3.2.1; 135 III 295 consid. 5.2). Le principe de la confiance permet d'imputer à une partie le sens objectif de sa déclaration ou de son comportement, même s'il ne correspond pas à sa volonté intime (ATF 136 III 186 consid. 3.2.1; 135 III 410 consid. 3.2).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intéressés lorsqu'il n'existe aucune raison sérieuse de penser qu'il ne correspond pas à leur volonté (ATF 136 III 186 consid. 3.2.1; 135 III 295 consid. 5.2).</w:t>
      </w:r>
    </w:p>
    <w:p>
      <w:r>
        <w:t>La partie qui entend déroger à la règle de l'art. 413 al. 1 CO doit le faire avec suffisamment de clarté (ATF 113 II 49 consid. 1b). Il a en particulier été jugé que lorsque le texte du contrat de courtage a été rédigé par une société de courtage, celle-ci doit, du fait qu'elle agit à titre professionnel, supporter les conséquences du manque de clarté du texte, puisqu'elle peut et doit empêcher, par l'élaboration</w:t>
      </w:r>
    </w:p>
    <w:p>
      <w:r>
        <w:t>- 12/16 -</w:t>
      </w:r>
    </w:p>
    <w:p>
      <w:r>
        <w:t>C/9167/2013 d'un texte clair, que ne surgissent des divergences en la matière (arrêts du Tribunal fédéral 4C.228/2005 du 25 octobre 2005 consid. 3 et 4C.278/2004 du 29 décembre 2004 consid. 2.4.2; RAYROUX, Commentaire romand CO I, 2012, n. 2 ad art. 413 CO). 4.2.4 La conclusion d'un contrat de courtage - et partant sa modification (arrêt du Tribunal fédéral 4C.334/2000 du 29 janvier 2001 consid. 3b/aa; MARQUIS, op. cit. p. 402) - n'est soumise à aucune forme particulière. Elle peut donc résulter d'actes concluants (ATF 131 III 268 consid. 5.1.2; arrêt du Tribunal fédéral 4C.228/2005 du 25 octobre 2005 consid. 3).</w:t>
      </w:r>
    </w:p>
    <w:p>
      <w:r>
        <w:rPr>
          <w:b/>
        </w:rPr>
        <w:t>E. 4.3</w:t>
      </w:r>
    </w:p>
    <w:p>
      <w:r>
        <w:t>En l'espèce, l'intimée fonde son droit à une commission sur l'art. 5 par. 2 du contrat de courtage conclu entre les parties en date du 15 avril 2010.</w:t>
      </w:r>
    </w:p>
    <w:p>
      <w:r>
        <w:t>Cet article prévoyait que la commission convenue serait due dans le cas où l'intimée indiquerait ou amènerait à l'appelant un acquéreur solvable "au prix demandé" et où l'appelant renoncerait à vendre.</w:t>
      </w:r>
    </w:p>
    <w:p>
      <w:r>
        <w:t>Une telle clause doit être qualifiée de clause de garantie de commission puisque, en dérogation à l'art. 413 al. 1 CO, les parties accordent à l'intimée, à certaines conditions, un droit à la commission convenue, indépendamment de la conclusion de toute vente.</w:t>
      </w:r>
    </w:p>
    <w:p>
      <w:r>
        <w:t>Les parties divergent sur le sens qu'il convient de donner à la clause précitée. Dès lors qu'il ne ressort pas du dossier, et cela n'est pas allégué, que l'insertion de cette clause dans le contrat de courtage aurait fait l'objet d'une discussion entre les parties et qu'un désaccord sur sa portée n'est survenu que lorsque la question de son application s'est posée, il y a lieu de l'interpréter selon la théorie de la confiance.</w:t>
      </w:r>
    </w:p>
    <w:p>
      <w:r>
        <w:t>Une des conditions fixées par la clause litigieuse pour que l'intimée puisse prétendre au versement de la commission convenue indépendamment de l'aboutissement de la vente était que l'acquéreur proposé soit disposé à s'acquitter du "prix demandé". Cette dernière notion est précisée à l'art. 3 du contrat de courtage, lequel fixe notamment le montant du prix demandé. Les parties s'accordent sur le fait que ce prix correspondait à celui auquel l'appelant entendait vendre son appartement. L'appelant devait ainsi raisonnablement comprendre cette condition dans le sens que la commission était due pour autant que l'intimée lui propose un acquéreur disposé à acheter son appartement au prix qu'il désirait obtenir. L'appelant ne pouvait en revanche de bonne foi comprendre, à la lecture de ladite condition, que la commission était également due si le prix offert par l'acquéreur était inférieur - même légèrement - au prix souhaité. En effet, le contrat de</w:t>
      </w:r>
    </w:p>
    <w:p>
      <w:r>
        <w:t>- 13/16 -</w:t>
      </w:r>
    </w:p>
    <w:p>
      <w:r>
        <w:t>C/9167/2013 courtage ne stipule rien à ce sujet et il ne ressort pas des circonstances qu'un tel accord aurait été convenu. L'appelant pouvait ainsi objectivement s'attendre, dans la mesure où il se privait de son droit de refuser de conclure le contrat proposé par l'intimée, que celle-ci devait lui présenter, en contrepartie, un acquéreur disposé à acheter son appartement au prix demandé. Conformément à la jurisprudence, si l'intimée voulait que la clause litigieuse, qui constituait une dérogation à l'art. 413 al. 1 CO, s'appliquât également en cas de légères différences entre le prix de vente demandé et celui proposé, il lui appartenait, en sa qualité de professionnelle dans le domaine du courtage et de rédactrice de ladite clause, de le préciser avec suffisamment de clarté. Le simple fait d'indiquer à l'art. 3 du contrat de courtage que le prix demandé n'avait qu'une valeur indicative ne saurait suffire. L'intimée ne peut par ailleurs pas pallier le manque de clarté de la clause litigieuse en se prévalant de la jurisprudence relative au principe de l'équivalence. Cette jurisprudence a en effet été développée dans le cadre de l'art. 413 al. 1 CO et ne saurait dès lors s'appliquer à un accord dérogeant à cette disposition, en l'absence d'une volonté clairement exprimée des parties à cet accord de s'y soumettre.</w:t>
      </w:r>
    </w:p>
    <w:p>
      <w:r>
        <w:t>Une interprétation de la volonté des parties sur la base du principe de la confiance permet ainsi de retenir que l'intimée ne pouvait prétendre au paiement de la commission convenue indépendamment de la conclusion de toute vente dans l'hypothèse où l'acquéreur proposé offrait de verser un prix inférieur à celui auquel l'appelant voulait vendre son appartement.</w:t>
      </w:r>
    </w:p>
    <w:p>
      <w:r>
        <w:t>Le contrat de courtage fixait le prix de vente demandé par l'appelant à 1'070'000 fr. Il ressort toutefois du dossier que l'intéressé a, par courriel du 15 juillet 2010, fait part à l'intimée de sa volonté de porter ce prix à 1'130'000 fr. Par courriel du 19 juillet 2010, cette dernière a indiqué en avoir pris bonne note, manifestant ainsi son accord avec l'offre de l'appelant.</w:t>
      </w:r>
    </w:p>
    <w:p>
      <w:r>
        <w:t>Dans la mesure où la modification d'un contrat de courtage n'est soumise à aucune forme particulière, il y a lieu d'admettre que les parties ont, par cet échange de courriels, convenu d’augmenter à 1'130'000 fr. le prix de vente demandé par l'appelant dans le cadre du contrat de courtage, ce que ne conteste d'ailleurs pas l'intimée dans son mémoire de réponse à l'appel (cf. page 6 par. 4).</w:t>
      </w:r>
    </w:p>
    <w:p>
      <w:r>
        <w:t>L'appelant soutient que les parties ont modifié une seconde fois le prix de vente demandé, en fixant, dans le protocole d'accord du 3 septembre 2010 qu'elles ont toutes les deux signé, à 1'100'000 fr. le prix auquel devait intervenir la vente de l'appartement à l'acheteur proposé par l'intimée.</w:t>
      </w:r>
    </w:p>
    <w:p>
      <w:r>
        <w:t>La question de savoir si ce protocole d'accord constitue une seconde modification de ce prix de vente souhaité par l’appelant peut toutefois demeurer indécise. Il ressort en effet du dossier que l'acheteur proposé par l'intimée, qui offrait</w:t>
      </w:r>
    </w:p>
    <w:p>
      <w:r>
        <w:t>- 14/16 -</w:t>
      </w:r>
    </w:p>
    <w:p>
      <w:r>
        <w:t>C/9167/2013 initialement d'acquérir l'appartement de l'appelant au prix de 1'100'000 fr., a finalement été disposé à ne s'acquitter que d'un prix de 1'070'000 fr. Or, ce dernier prix est inférieur au prix demandé par l'appelant, que l'on retienne que celui-ci s'élevait à 1'130'000 fr. ou à 1'100'000 fr.</w:t>
      </w:r>
    </w:p>
    <w:p>
      <w:r>
        <w:t>Il s'ensuit que l'intimée ne peut réclamer le paiement de la commission convenue, faute d'avoir présenté à l'appelant un acquéreur disposé à acheter son appartement au prix fixé par ledit appelant dans le cadre du contrat de courtage liant les parties.</w:t>
      </w:r>
    </w:p>
    <w:p>
      <w:r>
        <w:t>Compte tenu de ce qui précède, l'appel sera rejeté, le jugement entrepris annulé et l'intimée déboutée de sa demande en paiement.</w:t>
      </w:r>
    </w:p>
    <w:p>
      <w:r>
        <w:rPr>
          <w:b/>
        </w:rPr>
        <w:t>E. 5.1</w:t>
      </w:r>
    </w:p>
    <w:p>
      <w:r>
        <w:t>Lorsque l'instance d'appel statue à nouveau, elle se prononce sur les frais de la première instance (art. 318 al. 3 CPC).</w:t>
      </w:r>
    </w:p>
    <w:p>
      <w:r>
        <w:t>Le montant des frais judiciaires de première instance fixé à 3'200 fr. par le premier juge l'ayant été en conformité avec les dispositions légales applicables en la matière (art. 15 et 17 RTFMC) et n'étant de surcroît pas critiqué par les parties, il peut être confirmé.</w:t>
      </w:r>
    </w:p>
    <w:p>
      <w:r>
        <w:t>Dans la mesure où, à l'issue de la présente procédure, l'intimée succombe dans ses conclusions de première instance, ces frais seront mis à sa charge (art. 106 al. 1 CPC) et seront compensés à due concurrence avec l'avance de frais de 3'900 fr. fournie par cette dernière, laquelle reste dans cette mesure acquise à l'Etat de Genève (art. 111 al. 1 CPC). Le solde de cette avance, d'un montant de 700 fr., sera restitué à l'intéressée.</w:t>
      </w:r>
    </w:p>
    <w:p>
      <w:r>
        <w:t>L'intimée sera par ailleurs condamnée à s'acquitter des dépens de première instance de l'appelant, lesquels seront arrêtés à 7'300 fr., débours et TVA inclus (art. 84 et 85 RTFMC; art. 25 et 26 al. 1 LaCC).</w:t>
      </w:r>
    </w:p>
    <w:p>
      <w:r>
        <w:rPr>
          <w:b/>
        </w:rPr>
        <w:t>E. 5.2</w:t>
      </w:r>
    </w:p>
    <w:p>
      <w:r>
        <w:t>Les frais judiciaires de l'appel seront arrêtés à 3'000 fr. (art. 17 et 35 RTFMC) et seront compensés avec l'avance de frais, d'un montant correspondant, fournie par l'appelant, laquelle reste acquise à l'Etat de Genève (art. 111 al. 1 CPC). Ces frais seront mis à la charge de l'intimée qui succombe dans ses conclusions (art. 106 al. 1 CPC). Cette dernière sera par conséquent condamnée à rembourser à l'appelant le montant de son avance de frais, soit 3'000 fr. (art. 111 al. 2 CPC).</w:t>
      </w:r>
    </w:p>
    <w:p>
      <w:r>
        <w:t>L'intimée sera par ailleurs condamnée à s'acquitter des dépens d'appel de l'appelant, lesquels seront arrêtés à 4'500 fr., débours et TVA inclus (art. 84, 85 et 90 RTFMC; art. 25 et 26 al. 1 LaCC). * * * * * *</w:t>
      </w:r>
    </w:p>
    <w:p>
      <w:r>
        <w:t>- 15/16 -</w:t>
      </w:r>
    </w:p>
    <w:p>
      <w:r>
        <w:t>C/9167/2013 PAR CES MOTIFS, La Chambre civile : A la forme : Déclare recevable l'appel interjeté le 23 octobre 2015 par A______ contre le jugement JTPI/10825/2015 rendu le 21 septembre 2015 par le Tribunal de première instance dans la cause C/9167/2013-9. Au fond : Annule le jugement entrepris. Cela fait, et statuant à nouveau : Déboute B______ de sa demande en paiement. Arrête les frais judiciaires de première instance à 3'200 fr. et dit qu'ils sont compensés, à concurrence de ce montant, par l'avance de frais fournie par B______, laquelle reste, dans cette mesure, acquise à l'Etat de Genève. Met ces frais à la charge de B______. Ordonne aux Services financiers du Pouvoir judiciaire de restituer à B______ la somme de 700 fr. à titre de solde de l'avance de frais fournie. Condamne B______ à verser à A______ 7'300 fr. à titre de dépens de première instance. Déboute les parties de toutes autres conclusions. Sur les frais d’appel : Arrête les frais judiciaires de l'appel à 3'000 fr. et dit qu'ils sont compensés avec l'avance de frais opérée par A______, laquelle reste acquise à l'Etat de Genève. Met ces frais à la charge de B______. Condamne B______ à verser à A______ 3'000 fr. à titre de remboursement des frais avancés par lui. Condamne B______ à verser à A______ 4'500 fr. à titre de dépens d'appel.</w:t>
      </w:r>
    </w:p>
    <w:p>
      <w:r>
        <w:t>- 16/16 -</w:t>
      </w:r>
    </w:p>
    <w:p>
      <w:r>
        <w:t>C/9167/2013 Siégeant : Madame Valérie LAEMMEL-JUILLARD, présidente; Madame Nathalie LANDRY- BARTHE, Monsieur Patrick CHENAUX, juges; Madame Audrey MARASCO, greffière.</w:t>
      </w:r>
    </w:p>
    <w:p>
      <w:r>
        <w:t>La présidente : Valérie LAEMMEL-JUILLARD</w:t>
      </w:r>
    </w:p>
    <w:p>
      <w:r>
        <w:t>La greffière : Audrey MARASCO</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