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ACJC/1124/2015 vom 25. September 2015</w:t>
      </w:r>
    </w:p>
    <w:p>
      <w:r>
        <w:t>GE Cour de justice, 2015-09-25, FR</w:t>
      </w:r>
    </w:p>
    <w:p>
      <w:r>
        <w:rPr>
          <w:b/>
        </w:rPr>
        <w:t xml:space="preserve">Quelle: </w:t>
      </w:r>
      <w:r>
        <w:t>https://mcp.opencaselaw.ch/entscheid/ge_gerichte_ACJC_1124_2015</w:t>
      </w:r>
    </w:p>
    <w:p>
      <w:r>
        <w:t>FR: GE_GERICHTE ACJC/1124/2015 du 25 septembre 2015</w:t>
      </w:r>
    </w:p>
    <w:p>
      <w:r>
        <w:t>IT: GE_GERICHTE ACJC/1124/2015 del 25 settembre 2015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w:t>
      </w:r>
    </w:p>
    <w:p>
      <w:r>
        <w:t>- 6/9 -</w:t>
      </w:r>
    </w:p>
    <w:p>
      <w:r>
        <w:t>C/1392/2015</w:t>
      </w:r>
    </w:p>
    <w:p>
      <w:r>
        <w:rPr>
          <w:b/>
        </w:rPr>
        <w:t>E. 2.1</w:t>
      </w:r>
    </w:p>
    <w:p>
      <w:r>
        <w:t>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avoir exécuté les prestations dont dépend l'exigibilité de sa créance. Le contrat de travail est ainsi une reconnaissance de dette dans la poursuite en paiement du salaire s'il est constant que le travail a été fourni ou que la preuve littérale en est rapportée (GILLIERON, Commentaire de la loi fédérale sur la poursuite pour dettes et la faillite, 1999, n. 44 et 57 ad art. 82 LP).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w:t>
      </w:r>
    </w:p>
    <w:p>
      <w:r>
        <w:t>- 7/9 -</w:t>
      </w:r>
    </w:p>
    <w:p>
      <w:r>
        <w:t>C/1392/2015 entre la prétention déduite en poursuite et la dette reconnue (arrêt du Tribunal fédéral 5A_236/2013 du 12 août 2013, consid. 4.1.1). 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et il n'a pas à apporter la preuve absolue (ou stricte) de ses moyens libératoires, mais seulement à les rendre vraisemblables, en principe par titre (art. 254 al. 1 CPC; arrêt du Tribunal fédéral 5A_878/2011 du 5 mars 2012 consid. 2.2).</w:t>
      </w:r>
    </w:p>
    <w:p>
      <w:r>
        <w:rPr>
          <w:b/>
        </w:rPr>
        <w:t>E. 2.2</w:t>
      </w:r>
    </w:p>
    <w:p>
      <w:r>
        <w:t>En l'espèce, il ressort des pièces figurant au dossier que l'engagement signé le 18 octobre 2012 par l'intimé a été remplacé par la convention conclue par les époux en février 2013 prévoyant les modalités de leur séparation et entérinée par jugement du Tribunal du 17 juin 2013. Les époux ont en effet, juste après leur séparation, envisagé de poursuivre leur collaboration professionnelle, un salaire de 8'000 fr. devant être versé à la recourante dans ce cadre. Cette possibilité a cependant été abandonnée par la suite, ce qui est confirmé par le fait que la recourante a indiqué au juge des mesures protectrices, lors de la comparution personnelle, qu'elle n'avait pas de revenu. En tout état de cause, même à supposer, comme le soutient la recourante, que la convention du 18 octobre 2012 prévoyait le versement d'un salaire en sa faveur, lequel devait être versé indépendamment des engagements pris par son époux dans le cadre de la procédure de mesures protectrices de l'union conjugale, cela ne justifierait pas pour autant la mainlevée de l'opposition. En effet, la recourante n'a pas rendu vraisemblable qu'elle avait effectivement fourni un travail en faveur de l'intimé pour la période correspondante, contrairement à ce qu'exige la jurisprudence précitée. Le titre produit par la recourante ne constitue ainsi pas une reconnaissance de dette, de sorte que c'est à juste titre que le Tribunal a refusé de prononcer la mainlevée de l'opposition formée au commandement de payer. Le recours doit ainsi être rejeté.</w:t>
      </w:r>
    </w:p>
    <w:p>
      <w:r>
        <w:rPr>
          <w:b/>
        </w:rPr>
        <w:t>E. 3</w:t>
      </w:r>
    </w:p>
    <w:p>
      <w:r>
        <w:t>La recourante, qui succombe, sera condamnée aux frais du recours (art. 106 al. 1 CPC). Les frais judiciaires seront arrêtés à 1'125 fr. (art. 48 et 61 OELP) et compensés avec l'avance versée par la recourante, laquelle restera acquise à l'Etat de Genève.</w:t>
      </w:r>
    </w:p>
    <w:p>
      <w:r>
        <w:t>- 8/9 -</w:t>
      </w:r>
    </w:p>
    <w:p>
      <w:r>
        <w:t>C/1392/2015 Un montant de 2'000 fr., TVA et débours inclus, sera en outre alloué à l'intimé à titre de dépens (art. 85, 89 et 90 RTFMC; art. 25 et 26 LaCC). * * * * *</w:t>
      </w:r>
    </w:p>
    <w:p>
      <w:r>
        <w:t>- 9/9 -</w:t>
      </w:r>
    </w:p>
    <w:p>
      <w:r>
        <w:t>C/1392/2015 PAR CES MOTIFS, La Chambre civile : A la forme : Déclare recevable le recours interjeté le 22 juin 2015 par A______ contre le jugement JTPI/6331/2015 rendu le 2 juin 2015 par le Tribunal de première instance dans la cause C/1392/2015-JS SML. Au fond : Le rejette. Déboute les parties de toutes autres conclusions. Sur les frais : Arrête les frais judiciaires à 1'125 fr. Les met à charge de A______ et dit qu'ils sont entièrement compensés avec l'avance de frais fournie par cette dernière, laquelle reste acquise à l'Etat de Genève. Condamne A______ à verser à B______ 2'000 fr. à titre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