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ACJC/1122/2011 vom 19. September 2011</w:t>
      </w:r>
    </w:p>
    <w:p>
      <w:r>
        <w:t>GE Cour de justice, 2011-09-19, FR</w:t>
      </w:r>
    </w:p>
    <w:p>
      <w:r>
        <w:rPr>
          <w:b/>
        </w:rPr>
        <w:t xml:space="preserve">Quelle: </w:t>
      </w:r>
      <w:r>
        <w:t>https://mcp.opencaselaw.ch/entscheid/ge_gerichte_ACJC_1122_2011</w:t>
      </w:r>
    </w:p>
    <w:p>
      <w:r>
        <w:t>FR: GE_GERICHTE ACJC/1122/2011 du 19 septembre 2011</w:t>
      </w:r>
    </w:p>
    <w:p>
      <w:r>
        <w:t>IT: GE_GERICHTE ACJC/1122/2011 del 19 settembre 2011</w:t>
      </w:r>
    </w:p>
    <w:p>
      <w:pPr>
        <w:pStyle w:val="Heading2"/>
      </w:pPr>
      <w:r>
        <w:t>Regeste</w:t>
      </w:r>
    </w:p>
    <w:p>
      <w:r>
        <w:t>Résumé: SOUS-OCCUPATION D'UN LOGEMENT SOUMIS À LA LGL Les congés donnés pour un motif prévu par le droit public cantonal, sur instruc­tion d'une décision entrée en force de l'Office du logement, constituent des congés pour justes motifs au sens de l'art. 266g CO. Il en va ainsi d'un congé donné pour sous-occupation en vertu de l'article 31B al. 1 LGL.</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