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ACJC/1120/2013 vom 7. März 2013</w:t>
      </w:r>
    </w:p>
    <w:p>
      <w:r>
        <w:t>GE Cour de justice, 2013-03-07, FR</w:t>
      </w:r>
    </w:p>
    <w:p>
      <w:r>
        <w:rPr>
          <w:b/>
        </w:rPr>
        <w:t xml:space="preserve">Quelle: </w:t>
      </w:r>
      <w:r>
        <w:t>https://mcp.opencaselaw.ch/entscheid/ge_gerichte_ACJC_1120_2013</w:t>
      </w:r>
    </w:p>
    <w:p>
      <w:r>
        <w:t>FR: GE_GERICHTE ACJC/1120/2013 du 7 mars 2013</w:t>
      </w:r>
    </w:p>
    <w:p>
      <w:r>
        <w:t>IT: GE_GERICHTE ACJC/1120/2013 del 7 marzo 2013</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a été introduit en temps utile et selon la forme prescrite par la loi (art. 311 al. 1 CPC). Il est formé par une partie qui y a intérêt et porte sur des conclusions qui, capitalisées selon l'art. 92 al. 2 CPC, sont supérieures à 10'000 fr., de sorte qu'il est recevable.</w:t>
      </w:r>
    </w:p>
    <w:p>
      <w:r>
        <w:rPr>
          <w:b/>
        </w:rPr>
        <w:t>E. 2</w:t>
      </w:r>
    </w:p>
    <w:p>
      <w:r>
        <w:t>La Cour revoit la cause avec un plein pouvoir d’examen (art. 310 CPC).</w:t>
      </w:r>
    </w:p>
    <w:p>
      <w:r>
        <w:t>Compte tenu de la présence d'enfants mineurs, les maximes d'office et inquisitoire illimitée sont applicables (art. 296 CPC).</w:t>
      </w:r>
    </w:p>
    <w:p>
      <w:r>
        <w:t>- 5/10 -</w:t>
      </w:r>
    </w:p>
    <w:p>
      <w:r>
        <w:t>C/5428/2012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w:t>
      </w:r>
    </w:p>
    <w:p>
      <w:r>
        <w:rPr>
          <w:b/>
        </w:rPr>
        <w:t>E. 5</w:t>
      </w:r>
    </w:p>
    <w:p>
      <w:r>
        <w:t>décembre 2011 consid. 4.1 et 4.2).</w:t>
      </w:r>
    </w:p>
    <w:p>
      <w:r>
        <w:t>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COCCHI/TREZZINI/BERNASCONI [éd.], 2011, p. 1394; TAPPY, Les voies de droit du nouveau Code de procédure civile, in JdT 2010 III p. 115 ss, 139).</w:t>
      </w:r>
    </w:p>
    <w:p>
      <w:r>
        <w:t>Partant, les faits nouveaux et pièces nouvelles invoqués en appel sont admis. 4. Le litige porte exclusivement sur le montant de la contribution à l'entretien de la famille.</w:t>
      </w:r>
    </w:p>
    <w:p>
      <w:r>
        <w:t>4.1 Conformément à l'art. 176 al. 1 ch. 1 CC, le juge fixe la contribution pécuniaire à verser par l'une des parties à l'autre.</w:t>
      </w:r>
    </w:p>
    <w:p>
      <w:r>
        <w:t>La loi n'impose pas au juge de méthode de calcul particulière pour fixer la quotité de la contribution. La détermination de celle-ci relève du pouvoir d'appréciation</w:t>
      </w:r>
    </w:p>
    <w:p>
      <w:r>
        <w:t>- 6/10 -</w:t>
      </w:r>
    </w:p>
    <w:p>
      <w:r>
        <w:t>C/5428/2012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JdT 2010 I 167; 127 III 68 consid. 2, SJ 2001 I 280).</w:t>
      </w:r>
    </w:p>
    <w:p>
      <w:r>
        <w:t>Pour calculer la capacité contributive des parties,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(ATF 137 III 102 consid. 4.2.2.2; 128 III 4, SJ 2002 I 175).</w:t>
      </w:r>
    </w:p>
    <w:p>
      <w:r>
        <w:t>Les allocations familiales, destinées exclusivement à l'entretien de l'enfant, doivent être retranchées du coût d'entretien de celui-ci (arrêts du Tribunal fédéral 5A_402/2010 du 10 septembre 2010 consid. 4.2.4 et 5A_511/2010 du 4 février 2011 consid. 3). 4.2 En l'espèce, compte tenu de la situation financière modeste des parties, on peut attendre de l'intimée qu'elle exerce une activité à temps partiel, comme elle le faisait du reste déjà du temps de la vie commune. L'intimée admet elle-même la nécessité de retrouver un emploi. Elle soutient que ses recherches sont toutefois vaines. L'épouse, âgée de 41 ans, n'allègue aucun problème de santé entravant ses démarches. En raison de son éloignement du marché du travail depuis trois ans, il est vraisemblable que, bien qu'au bénéfice d'une formation d'employée de commerce, elle puisse rencontrer des difficultés à retrouver une activité susceptible de lui procurer un revenu similaire à celui perçu durant la vie commune. Aucun autre frein à son employabilité ne peut toutefois être observé. Au vu de son âge et de son état de santé, on peut exiger d'elle qu'elle étende ses recherches à des emplois, exercés à mi-temps, ne requérant aucune qualification et lui permettant d'obtenir un salaire mensuel net de l'ordre de 1'500 fr., tel que retenu par le Tribunal et admis par les parties. L'intimée ne conteste pas que ce revenu était déjà réalisable au moment du prononcé du jugement entrepris, de sorte qu'il n'y a pas lieu de lui octroyer un délai supplémentaire pour l'obtenir.</w:t>
      </w:r>
    </w:p>
    <w:p>
      <w:r>
        <w:t>- 7/10 -</w:t>
      </w:r>
    </w:p>
    <w:p>
      <w:r>
        <w:t>C/5428/2012 Un revenu de 1'500 fr. nets par mois, augmenté d'une pension alimentaire de l'ordre de 2'000 fr. par mois, permettra à l'épouse de bénéficier encore des allocations au logement perçues actuellement et de subsides de l'assurance maladie (art. 21 ss du Règlement d'exécution de la loi générale sur le logement et la protection des locataires, RGL, I 4 05.01; art. 10B ss du Règlement d'exécution de la loi d'application de la loi fédérale sur l'assurance maladie, RaLAMal, J 3 05.01). L'intimée ne devra par ailleurs assumer aucune charge fiscale (cf. calculette mise à disposition par l'Administration fiscale genevoise sur le site www.ge.ch). Ses charges mensuelles incompressibles peuvent par conséquent être estimées à 3'260 fr. Son budget connaît donc un déficit de 1'760 fr. (1'500 fr. – 3260 fr.). L'appelant n'a rendu vraisemblable ni la nécessité de bénéficier d'une place de parking près de son domicile, ni l'obligation de louer une telle place pour obtenir le bail portant sur son appartement. Les frais supplémentaires de transport allégués en 165 fr. par mois doivent donc être écartés de son minimum vital élargi, ce d'autant plus qu'un montant de 300 fr. est déjà retenu pour ses frais de transport. Il n'est en outre pas tenu compte de l'aide qu'il envoie mensuellement à ses parents, dès lors que l'obligation d'entretien entre époux a la priorité sur la dette alimentaire de l'art. 328 CC (art. 328 al. 2 CC; KOLLER, in Commentaire bâlois CC I, 2010, n. 11 ad. art. 328/329 CC; EIGENMANN, in Commentaire romand CC I, 2010, n. 6 ad 328/329 CC; MEIER, La dette alimentaire [art. 328/329 CC], Etat des lieux, in RNRF 91 [2010], N. 8 p. 6, et références cités). Enfin, compte tenu de la situation financière modeste des parties, il n'y pas lieu de tenir compte de sa charge fiscale. L'appelant, qui perçoit un salaire mensuel net de 5'000 fr., doit donc faire face à des charges mensuelles incompressibles de 3'200 fr., ce qui lui laisse un disponible de 1'800 fr. Dans ses circonstances, il se justifie d'allouer à l'intimée une contribution à l'entretien de la famille de 1'760 fr., ce montant, augmenté de ses revenus, lui permettant de couvrir l'entier de ses charges incompressibles.</w:t>
      </w:r>
    </w:p>
    <w:p>
      <w:r>
        <w:rPr>
          <w:b/>
        </w:rPr>
        <w:t>E. 5.1</w:t>
      </w:r>
    </w:p>
    <w:p>
      <w:r>
        <w:t>En règle générale, sauf décision contraire, l'obligation de verser une contribution rétroagit au jour du dépôt de la requête de mesures protectrices de l'union conjugale (cf. arrêt du Tribunal fédéral 5P.442/2006 du 8 août 2007, consid. 3.2, concernant le prononcé de mesures provisoires). Au vu des moyens modeste des parties, il n'y a pas lieu de condamner l'appelant à verser une contribution d'entretien au jour du dépôt de la demande, dès lors qu'il a participé spontanément à l'entretien de sa famille depuis la séparation des parties. Il se justifie de confirmer le dies a quo fixé par le Tribunal au 1er mars 2013, date avoisinant le prononcé du jugement entrepris, non contestée au demeurant par les parties. Durant le mois de mars 2013, les charges de l'appelant s'élevaient à 2'500 fr. 30, dont 500 fr. de loyer, 200 fr. 30 d'assurance maladie obligatoire,</w:t>
      </w:r>
    </w:p>
    <w:p>
      <w:r>
        <w:t>- 8/10 -</w:t>
      </w:r>
    </w:p>
    <w:p>
      <w:r>
        <w:t>C/5428/2012 300 fr. de transport, 300 fr. d'impôts (estimation – non contestée -) et 1'200 fr. de montant de base d'entretien. L'addition des ressources des parties s'élève ainsi, pour le mois de mars 2013, à 6'500 fr., alors que leurs charges représentent 5'760 fr. (3'260 fr. + 2'500 fr.), ce qui laisse un solde disponible de 740 fr. Une répartition de l'excédent à raison de deux tiers en faveur de l'intimée conduit à une contribution d'entretien pour le mois de mars 2013 de l'ordre de 2'253 fr. (3'260 fr. + 493 fr. [deux tiers du solde disponible] – 1'500 fr.). Ce montant sera arrêté à 2'100 fr., l'intimée n'ayant pas appelé du jugement litigieux et l'appelant disposant de faibles ressources pour régler l'arriéré de pension.</w:t>
      </w:r>
    </w:p>
    <w:p>
      <w:r>
        <w:rPr>
          <w:b/>
        </w:rPr>
        <w:t>E. 5.2</w:t>
      </w:r>
    </w:p>
    <w:p>
      <w:r>
        <w:t>En cas d'effet rétroactif du versement de contributions d'entretien, le juge qui en fixe le montant doit tenir compte des versements déjà effectués à ce titre par l'époux débirentier (ATF 138 III 583 consid. 6.1.2; 135 III 316 consid. 2.5). En l'occurrence, l'appelant a vraisemblablement continué à verser à l'intimée une pension de 1'500 fr. par mois depuis le prononcé du jugement entrepris. Du 1er mars au jour du prononcé du présent arrêt, il s'est donc acquitté d'un montant total de 9'000 fr. (6 mois x 1'500 fr.) à titre de contribution à l'entretien de la famille, étant précisé que les versements semblent avoir lieu systématiquement à la fin du mois pour le mois en cours. En conséquence, l'appelant sera condamné à verser à l'intimée au titre de contribution d'entretien un montant total de 1'900 fr. (2'100 fr. + [5 X 1'760 fr.] – 9'000 fr.), allocations familiales non comprises, pour les mois de mars à août 2013. Il sera en outre condamné à payer, par mois et d'avance, la somme de 1'760 fr., allocations familiales non comprises, à titre de contribution d'entretien dès le 1er septembre 2013. Le chiffre 6 du dispositif du jugement entrepris sera donc modifié dans ce sens.</w:t>
      </w:r>
    </w:p>
    <w:p>
      <w:r>
        <w:rPr>
          <w:b/>
        </w:rPr>
        <w:t>E. 6</w:t>
      </w:r>
    </w:p>
    <w:p>
      <w:r>
        <w:t>Les frais judiciaires d'appel seront fixés à 500 fr. (art. 96 CPC cum art. 31 et 35 du Règlement fixant le tarif des frais en matière civile, RTFMC - E 1 05.10). Pour des motifs d'équité liés à la nature du litige, ils seront répartis à parts égales entre chacune des parties, lesquelles conserveront à leur charge leurs propres dépens (art. 95 al. 3, 104 al. 1, 105 al. 1 et 107 al. 1 let. c CPC). Le montant de 250 fr. mis à la charge de l'intimée sera provisoirement supporté par l'Etat, celle-ci plaidant au bénéfice de l'assistance juridique (art. 122 al.1 let. b, 123 al. 1 CPC et 19 RAJ). L'avance de frais de 500 fr. fournie par l'appelant lui sera restituée à hauteur de 250 fr., le solde restant en revanche acquis à l'Etat (art. 111 et 122 al. 1 let. c CPC). Quant aux frais de première instance, dont la quotité ni la répartition ne sont remises en cause, ils ont été arrêtés conformément aux normes précitées, en</w:t>
      </w:r>
    </w:p>
    <w:p>
      <w:r>
        <w:t>- 9/10 -</w:t>
      </w:r>
    </w:p>
    <w:p>
      <w:r>
        <w:t>C/5428/2012 conséquence de quoi le jugement entrepris sera confirmé sur ce point (art. 318 al. 3 CPC).</w:t>
      </w:r>
    </w:p>
    <w:p>
      <w:r>
        <w:rPr>
          <w:b/>
        </w:rPr>
        <w:t>E. 7</w:t>
      </w:r>
    </w:p>
    <w:p>
      <w:r>
        <w:t>L'arrêt de la Cour, statuant sur mesures protectrices de l'union conjugale, est susceptible d'être l'objet d'un recours en matière civile, les moyens étant limités en application de l'art. 98 LTF. * * * * * PAR CES MOTIFS, La Chambre civile : A la forme : Déclare recevable l'appel interjeté par A______ contre le chiffre 6 du dispositif du jugement JTPI/3581/2013 rendu le 7 mars 2013 par le Tribunal de première instance dans la cause C/5428/2012-20. Au fond : Annule le chiffre 6 du dispositif du jugement entrepris. Cela fait et statuant à nouveau sur ce point : Condamne A______ à verser à B______, au titre de contribution à l'entretien de la famille pour la période du 1er mars au 31 août 2013, la somme en capital de 1'900 fr., allocations familiales non comprises. Condamne A______ à verser en mains de B______, par mois et d'avance, allocations familiales non comprises, le montant de 1'760 fr. au titre de contribution à l'entretien de la famille dès le 1er septembre 2013. Déboute les parties de toutes autres conclusions.</w:t>
      </w:r>
    </w:p>
    <w:p>
      <w:r>
        <w:t>Sur les frais d'appel : Arrête les frais judiciaires à 500 fr. et les mets à la charge de A______ et B______ pour moitié chacun. Dit que les frais à la charge de A______, de 250 fr., sont compensés à concurrence de ce montant par l'avance de frais fournie par ce dernier, laquelle reste acquise à l'Etat de Genève.</w:t>
      </w:r>
    </w:p>
    <w:p>
      <w:r>
        <w:t>- 10/10 -</w:t>
      </w:r>
    </w:p>
    <w:p>
      <w:r>
        <w:t>C/5428/2012 Invite en conséquence l'Etat de Genève, soit pour lui les Services financiers du Pouvoir judiciaire, à restituer à A______ la somme de 250 fr. Dit que les frais de 250 fr. mis à la charge de B______ seront provisoirement supportés par l'Etat de Genève. Dit que chaque partie supporte ses propres dépens. Siégeant : Monsieur Blaise PAGAN, président; Madame Daniela CHIABUDINI, Monsieur Cédric-Laurent MICHEL, juges; Madame Nathalie DESCHAMPS, greffière.</w:t>
      </w:r>
    </w:p>
    <w:p>
      <w:r>
        <w:t>Le président : Blaise PAGAN</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