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ACJC/111/2024 vom 31. Januar 2024</w:t>
      </w:r>
    </w:p>
    <w:p>
      <w:r>
        <w:t>GE Cour de justice, 2024-01-31, FR</w:t>
      </w:r>
    </w:p>
    <w:p>
      <w:r>
        <w:rPr>
          <w:b/>
        </w:rPr>
        <w:t xml:space="preserve">Quelle: </w:t>
      </w:r>
      <w:r>
        <w:t>https://mcp.opencaselaw.ch/entscheid/ge_gerichte_ACJC_111_2024</w:t>
      </w:r>
    </w:p>
    <w:p>
      <w:r>
        <w:t>FR: GE_GERICHTE ACJC/111/2024 du 31 janvier 2024</w:t>
      </w:r>
    </w:p>
    <w:p>
      <w:r>
        <w:t>IT: GE_GERICHTE ACJC/111/2024 del 31 gennaio 2024</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 Un rapport procédural, qui impose aux parties de se comporter conformément aux règles de la bonne foi, soit, notamment, de se préoccuper de ce que les actes judiciaires concernant la procédure puissent leur être notifiés, ne prend naissance qu'à partir de la litispendance (ATF 138 III 225 consid. 3.1; 130 III 396 consid. 1.2.3 et les références; arrêt du Tribunal fédéral 5D_130/2011 du 22 septembre 2011 consid. 2.1, publié in Pra 2012 (42) 300).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7B_20/2005 du 14 septembre 2005 consid. 1.3 non publié aux ATF 131 III 652).</w:t>
      </w:r>
    </w:p>
    <w:p>
      <w:r>
        <w:rPr>
          <w:b/>
        </w:rPr>
        <w:t>E. 1.2</w:t>
      </w:r>
    </w:p>
    <w:p>
      <w:r>
        <w:t>En l'espèce, la partie recourante n'a pas retiré le pli recommandé contenant l’ordonnance du Tribunal du 3 octobre 2023 lui impartissant un délai pour se déterminer sur la requête de l'intimée, ni le jugement du 30 novembre 2023. Le fait que la recourante ait été sommée par l'intimée de rétablir la situation légale par courrier du 10 août 2023, dont on ignore d'ailleurs s'il lui est parvenu, ne suffit pas à considérer que celle-ci devait s'attendre à recevoir une ordonnance du Tribunal et encore moins un jugement, de sorte que la fiction de notification ne saurait trouver application.</w:t>
      </w:r>
    </w:p>
    <w:p>
      <w:r>
        <w:t>Il résulte de ce qui précède que le droit d'être entendue de la partie recourante a été violé puisqu'elle n'a pas été valablement invitée à se déterminer sur la requête</w:t>
      </w:r>
    </w:p>
    <w:p>
      <w:r>
        <w:t>- 4/5 -</w:t>
      </w:r>
    </w:p>
    <w:p>
      <w:r>
        <w:t>C/20118/2023 du 26 septembre 2023 et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écrite (art. 253 CPC), pour qu'il impartisse valablement un délai à la partie recourante afin qu’elle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aucun acte d'instruction n'ayant été effectué, il ne sera pas perçu de frais judiciaires (art. 7 RTFMC). Il n'y a pas lieu d'allouer de dépens à la partie recourante, l’art. 107 al. 2 CPC ne permettant pas de mettre des dépens à la charge de l’Etat de Genève. * * * * *</w:t>
      </w:r>
    </w:p>
    <w:p>
      <w:r>
        <w:t>- 5/5 -</w:t>
      </w:r>
    </w:p>
    <w:p>
      <w:r>
        <w:t>C/20118/2023 PAR CES MOTIFS, La Chambre civile :</w:t>
      </w:r>
    </w:p>
    <w:p>
      <w:r>
        <w:t>Annule le jugement JTPI/14027/2023 rendu le 30 novembre 2023 par le Tribunal de première instance dans la cause C/20118/2023-10 SFC. Renvoie la cause au Tribunal de première instance pour nouvelle décision. Dit qu'il n'est pas perçu de frais judiciaires ni alloué de dépens de recours. Déboute les parties de toutes autres conclusions. Siégeant : Madame Pauline ERARD, présidente; Madame Nathalie LANDRY-BARTHE, Monsieur Ivo BUETTI,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