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ACJC/1117/2017 vom 12. September 2017</w:t>
      </w:r>
    </w:p>
    <w:p>
      <w:r>
        <w:t>GE Cour de justice, 2017-09-12, FR</w:t>
      </w:r>
    </w:p>
    <w:p>
      <w:r>
        <w:rPr>
          <w:b/>
        </w:rPr>
        <w:t xml:space="preserve">Quelle: </w:t>
      </w:r>
      <w:r>
        <w:t>https://mcp.opencaselaw.ch/entscheid/ge_gerichte_ACJC_1117_2017</w:t>
      </w:r>
    </w:p>
    <w:p>
      <w:r>
        <w:t>FR: GE_GERICHTE ACJC/1117/2017 du 12 septembre 2017</w:t>
      </w:r>
    </w:p>
    <w:p>
      <w:r>
        <w:t>IT: GE_GERICHTE ACJC/1117/2017 del 12 settembre 2017</w:t>
      </w:r>
    </w:p>
    <w:p>
      <w:pPr>
        <w:pStyle w:val="Heading2"/>
      </w:pPr>
      <w:r>
        <w:t>Erwägungen</w:t>
      </w:r>
    </w:p>
    <w:p>
      <w:r>
        <w:rPr>
          <w:b/>
        </w:rPr>
        <w:t>E. 3</w:t>
      </w:r>
    </w:p>
    <w:p>
      <w:r>
        <w:t>A titre préalable, l'intimée sollicite que l'appelante soit astreinte à fournir des sûretés.</w:t>
      </w:r>
    </w:p>
    <w:p>
      <w:r>
        <w:t>- 8/11 -</w:t>
      </w:r>
    </w:p>
    <w:p>
      <w:r>
        <w:t>C/26349/2016 En vertu de l'art. 99 al. 3 let. c CPC, il n'y a toutefois pas lieu de fournir des sûretés dans la procédure sommaire, à l'exception de la procédure applicable dans les cas clairs (art. 257 CPC), qui ne concerne pas le cas d'espèce. L'intimée, qui reconnaît dans sa duplique qu'elle ne peut effectivement bénéficier de sûretés en garantie de ses dépens, sera donc déboutée de ses conclusions préalables en ce sens.</w:t>
      </w:r>
    </w:p>
    <w:p>
      <w:r>
        <w:rPr>
          <w:b/>
        </w:rPr>
        <w:t>E. 4</w:t>
      </w:r>
    </w:p>
    <w:p>
      <w:r>
        <w:t>Sur le fond, la recourante reproche au Tribunal d'avoir rejeté sa requête en mainlevée de l'opposition. Elle soutient notamment que les pièces produites à l'appui de sa requête justifiaient à elles seules le prononcé de la mainlevée requise.</w:t>
      </w:r>
    </w:p>
    <w:p>
      <w:r>
        <w:rPr>
          <w:b/>
        </w:rPr>
        <w:t>E. 4.1</w:t>
      </w:r>
    </w:p>
    <w:p>
      <w:r>
        <w:t>Le créancier dont la poursuite se fonde sur une reconnaissance de dette constatée par acte authentique ou sous seing privé peut requérir la mainlevée provisoire (art. 82 al. 1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132 III 140 consid. 4.1). 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 pièces (arrêt du Tribunal fédéral 5A_867/2012 du 7 mars 2013 consid. 4.1).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w:t>
      </w:r>
    </w:p>
    <w:p>
      <w:r>
        <w:t>- 9/11 -</w:t>
      </w:r>
    </w:p>
    <w:p>
      <w:r>
        <w:t>C/26349/2016 GILLIERON, Commentaire de la loi fédérale sur la poursuite pour dettes et la faillite, vol. I, 1999, n. 44 ad art 82 LP; PANCHAUD/CAPREZ, La mainlevée de l'opposition, 1980, § 69).</w:t>
      </w:r>
    </w:p>
    <w:p>
      <w:r>
        <w:rPr>
          <w:b/>
        </w:rPr>
        <w:t>E. 4.2</w:t>
      </w:r>
    </w:p>
    <w:p>
      <w:r>
        <w:t>En l'espèce, il est établi par pièces que les parties ont conclu au mois de juin 2009 un contrat de prêt portant sur la remise par l'appelante d'une somme de USD 822'000.- à l'intimée, à charge pour celle-ci de restituer cette somme le 24 juin 2014, augmentée de d'intérêts à 7,75% l'an. Conformément aux principes rappelés ci-dessus, il incombe à la recourante de démontrer à ce stade qu'elle a bien exécuté le contrat susvisé, soit qu'elle a effectivement remis la somme de USD 822'000.- à l'intimée. Au vu de la contestation soulevée par cette dernière, la seule production par la recourante d'un ordre de transfert adressé à sa banque est à cet égard insuffisante, cet ordre ne permettant pas de vérifier qu'il a été suivi d'effet. C'est également en vain que la recourante soutient que le prêt litigieux a été enregistré dans la comptabilité de l'intimée, ce qui démontrerait sa bonne exécution. Comme l'a relevé le Tribunal, l'extrait de la comptabilité 2009 de l'intimée produit par la recourante, non signé, fait état d'un montant différent, de 874'925.29, sans indication de devise. S'il est exact que ce montant n'est pas nécessairement exprimé en dollars américains, contrairement à ce qu'a retenu le Tribunal, et qu'il peut s'agir de la contre-valeur en francs suisses d'un prêt octroyé en dollars américains, comme l'allègue la recourante, cette dernière ne fournit pas d'élément quant au taux de change appliqué permettant de vérifier aisément que le montant de 874'925.29 comptabilisé correspondrait nécessairement au prêt litigieux. Les allégations de la recourante selon lesquelles l'extrait de compte en question énoncerait expressément "A______ Services corp – loan / us 822'000.00" en regard du montant susvisé sont au surplus irrecevables à ce stade, ni le contenu de cet extrait, ni ce point particulier n'ayant été précisément allégué devant le Tribunal (art. 326 al. 1 CPC). Comme l'a également relevé le Tribunal, les autres pièces comptables produites par la recourante font état de montants encore différents au titre des prêts contractés par l'intimée, tels que 1'010'209 fr. 12 ou 1'402'932 fr. 10. Or, ces montants, ne permettent pas davantage de vérifier aisément qu'ils correspondraient au prêt de USD 822'000.- litigieux, même augmenté des intérêts échus ou de différences de changes encourues. La recourante admet d'ailleurs que l'intimée a contracté d'autres emprunts à l'époque des faits, dont un autre crédit qu'elle lui aurait elle-même accordé, ce qui rend difficile l'identification du prêt litigieux. Le Tribunal a dès lors jugé à bon droit que la recourante échouait à démontrer par titre avoir exécuté les prestations dont dépendait l'exigibilité de la créance déduite en poursuite, soit avoir effectivement remis à l'intimée le montant du prêt dénoncé au recouvrement. Le recours en conséquence sera rejeté, sans qu'il soit nécessaire</w:t>
      </w:r>
    </w:p>
    <w:p>
      <w:r>
        <w:t>- 10/11 -</w:t>
      </w:r>
    </w:p>
    <w:p>
      <w:r>
        <w:t>C/26349/2016 d'examiner en sus le moyen tiré par l'intimée d'un éventuel défaut de représentation valable de l'appelante.</w:t>
      </w:r>
    </w:p>
    <w:p>
      <w:r>
        <w:rPr>
          <w:b/>
        </w:rPr>
        <w:t>E. 4.3</w:t>
      </w:r>
    </w:p>
    <w:p>
      <w:r>
        <w:t>Il sera au surplus rappelé que le jugement statuant sur la mainlevée - provisoire ou définitive - n'a d'effets que dans la poursuite en cours et que la décision de mainlevée, rendue en procédure sommaire, ne statue pas définitivement sur une prétention issue du droit fédéral, de sorte que le jugement qui rejette une requête de mainlevée n'acquiert pas force de chose jugée quant à l'existence de la prétention litigieuse et n'empêche pas le poursuivant de requérir à nouveau la mainlevée dans une nouvelle poursuite (ATF 136 III 583 consid. 2; 132 III 140 consid. 4.1; 99 Ia 423, JdT 1974 II 78, consid. 4) ou dans la même poursuite (ATF 100 III 48, JdT 1975 II 116; 65 III 51, JdT 1939 II 89; GILLIERON, op. cit, no 85 ad art. 80 LP; SCHMIDT, Commentaire romand de la LP, n. 17 s. ad art. 80 LP). En d'autres termes, la mainlevée refusée une première fois peut faire l'objet d'une seconde demande dans la même poursuite ou dans une nouvelle poursuite (ACJC/632/2007 du 31 mai 2007 et ACJC/95/2002 du 31 janvier 2002, cité par KRAUSKOPF, La mainlevée provisoire: quelques jurisprudences récentes, in JdT 2008 II p. 23 ss).</w:t>
      </w:r>
    </w:p>
    <w:p>
      <w:r>
        <w:rPr>
          <w:b/>
        </w:rPr>
        <w:t>E. 5</w:t>
      </w:r>
    </w:p>
    <w:p>
      <w:r>
        <w:t>La recourante, qui succombe, sera condamnée aux frais du recours (art. 106 al. 1 CPC). A teneur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En l'espèce, le premier juge a fixé l'émolument de première instance - non contesté en tant que tel - à 1'000 fr. Partant, l'émolument de la présente décision sera arrêté à 1'500 fr. Il sera partiellement compensé avec l'avance de frais de 1'000 fr. versée par la recourante, qui reste acquise à l'Etat de Genève, et celle-ci sera condamnée à verser la somme de 500 fr. à titre de solde de frais (art. 111 al. 1 CPC). La recourante sera également condamnée à payer à l'intimée, représentée par avocat, la somme de 2'500 fr. à titre de dépens, débours et TVA inclus (art. 85, 89 et 90 RTFMC, art. 23, 25 et 26 LaCC; art. 25 LTVA).</w:t>
      </w:r>
    </w:p>
    <w:p>
      <w:r>
        <w:rPr>
          <w:b/>
        </w:rPr>
        <w:t>E. 6</w:t>
      </w:r>
    </w:p>
    <w:p>
      <w:r>
        <w:t>La valeur litigieuse, au sens de l'art. 51 LTF, est supérieure à 30'000 fr. * * * * * PAR CES MOTIFS, La Chambre civile :</w:t>
      </w:r>
    </w:p>
    <w:p>
      <w:r>
        <w:t>- 11/11 -</w:t>
      </w:r>
    </w:p>
    <w:p>
      <w:r>
        <w:t>C/26349/2016 A la forme : Déclare recevable le recours interjeté le 22 mai 2017 par A______ contre le jugement JTPI/6169/2017 rendu le 10 mai 2017 par le Tribunal de première instance dans la cause C/26349/2016-12 SML. Au fond : Rejette le recours. Déboute les parties de toutes autres conclusions. Sur les frais : Arrête les frais judiciaires à 1'500 fr., les met à la charge de A______ et les compense partiellement avec l'avance de frais de 1'000 fr. effectuée par celle-ci, qui reste acquise à l'Etat de Genève. Condamne A______ à payer à l'Etat de Genève, soit pour lui les Services financiers du Pouvoir judiciaire, la somme de 500 fr. à titre de solde de frais. Condamne A______ à payer à B______ la somme de 2'500 fr. à titre de dépens. Siégeant : Madame Sylvie DROIN, présidente; Madame Fabienne GEISINGER-MARIETHOZ et Madame Nathalie LANDRY-BARTHE, juges; Monsieur David VAZQUEZ, commis- greffier.</w:t>
      </w:r>
    </w:p>
    <w:p>
      <w:r>
        <w:t>La présidente : Sylvie DROIN</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