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ACJC/1117/2011 vom 27. Mai 2011</w:t>
      </w:r>
    </w:p>
    <w:p>
      <w:r>
        <w:t>GE Cour de justice, 2011-05-27, FR</w:t>
      </w:r>
    </w:p>
    <w:p>
      <w:r>
        <w:rPr>
          <w:b/>
        </w:rPr>
        <w:t xml:space="preserve">Quelle: </w:t>
      </w:r>
      <w:r>
        <w:t>https://mcp.opencaselaw.ch/entscheid/ge_gerichte_ACJC_1117_2011</w:t>
      </w:r>
    </w:p>
    <w:p>
      <w:r>
        <w:t>FR: GE_GERICHTE ACJC/1117/2011 du 27 mai 2011</w:t>
      </w:r>
    </w:p>
    <w:p>
      <w:r>
        <w:t>IT: GE_GERICHTE ACJC/1117/2011 del 27 maggio 2011</w:t>
      </w:r>
    </w:p>
    <w:p>
      <w:pPr>
        <w:pStyle w:val="Heading2"/>
      </w:pPr>
      <w:r>
        <w:t>Regeste</w:t>
      </w:r>
    </w:p>
    <w:p>
      <w:r>
        <w:t>Résumé: Conditions de validité d'un cautionnement; cas d'un cautionnement ne dépassant pas 2'000 fr.; Le cautionnement souscrit par une personne physique pour un montant supérieur à 2'000 fr. qui ne revêt pas la forme authentique demeure valable à concurrence de 2'000 fr. lorsque les conditions de l'art. 493 al. 2 2ème phrase sont remplies.</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- 4/7 -</w:t>
      </w:r>
    </w:p>
    <w:p>
      <w:r>
        <w:t>C/3712/2011</w:t>
      </w:r>
    </w:p>
    <w:p>
      <w:r>
        <w:t>A Genève, la Chambre civile de la Cour de justice est l'instance compétente pour connaître d'un recours (art. 120 al. 1 let. a LOJ).</w:t>
      </w:r>
    </w:p>
    <w:p>
      <w:r>
        <w:rPr>
          <w:b/>
        </w:rPr>
        <w:t>E. 2.2</w:t>
      </w:r>
    </w:p>
    <w:p>
      <w:r>
        <w:t>Interjeté dans le délai et les formes prévus par la loi, le présent recours est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rPr>
          <w:b/>
        </w:rPr>
        <w:t>E. 4.2</w:t>
      </w:r>
    </w:p>
    <w:p>
      <w:r>
        <w:t>L'art. 493 al. 1 CO prévoit que la validité du cautionnement est subordonnée à la déclaration écrite de la caution et à l'indication numérique, dans l'acte même, du montant total à concurrence duquel la caution est tenue. Lorsque la caution est une personne physique, la déclaration de cautionnement doit en outre revêtir la forme authentique conformément aux règles en vigueur au lieu où l'acte est dressé. Si le cautionnement ne dépasse pas la somme de 2'000 fr., il suffit que la caution écrive de sa main, dans l'acte même, le montant à concurrence duquel elle est tenue et, le cas échéant, qu'elle s'engage en qualité de caution solidaire (art. 493 al. 2 CO). Selon la doctrine, le respect de la forme est une condition de validité du contrat. En cas de violation, la sanction est la nullité absolue, totale ou partielle (art. 11 al. 2 CO). Le cautionnement souscrit par une personne physique pour un montant supérieur à 2'000 fr. qui ne revêt pas la forme authentique demeure valable à</w:t>
      </w:r>
    </w:p>
    <w:p>
      <w:r>
        <w:t>- 5/7 -</w:t>
      </w:r>
    </w:p>
    <w:p>
      <w:r>
        <w:t>C/3712/2011 concurrence de 2'000 fr. lorsque les conditions de l'art. 493 al. 2 2ème phrase sont remplies (MEIER, Commentaire Romand, n. 7 ad art. 493 CO). Les cautionnements souscrits par des personnes physiques pour un montant inférieur ou égal à 2'000 fr. doivent revêtir la forme qualifiée. La caution devra écrire de sa main le montant maximum de la garantie. La déclaration qui ne porte pas sur ce montant maximal écrit de la main de la caution est nulle (MEIER, op. cit., n. 12 et 13 ad art. 493 CO).</w:t>
      </w:r>
    </w:p>
    <w:p>
      <w:r>
        <w:rPr>
          <w:b/>
        </w:rPr>
        <w:t>E. 4.3</w:t>
      </w:r>
    </w:p>
    <w:p>
      <w:r>
        <w:t>En l'espèce, le cautionnement, portant sur un montant supérieur à 2'000 fr. et la caution étant une personne physique, devait être fait sous la forme authentique, alors que les parties ont uniquement observé la forme écrite qualifiée. Ce cautionnement est ainsi nul. La citée n'a pas écrit de sa main le montant maximal à hauteur duquel elle était tenue. Dès lors, le cautionnement est radicalement nul, de sorte que le Tribunal de première instance a, à bon droit, retenu que la pièce produite par le recourant ne valait pas reconnaissance de dette et débouté le recourant de ses conclusions en mainlevée provisoire de l'opposition formée au commandement de payer. Le recours sera ainsi rejeté.</w:t>
      </w:r>
    </w:p>
    <w:p>
      <w:r>
        <w:rPr>
          <w:b/>
        </w:rPr>
        <w:t>E. 5.1</w:t>
      </w:r>
    </w:p>
    <w:p>
      <w:r>
        <w:t>Les dépens comprennent les débours nécessaires et le défraiement d'un représentant professionnel (art. 95 al. 3 let. a et b CPC). Les cantons fixent le tarif des frais (art. 96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frais en matière civile; RTFMC; E 1 05.10).</w:t>
      </w:r>
    </w:p>
    <w:p>
      <w:r>
        <w:t>Pour les affaires pécuniaires, le défraiement prend pour base le tarif, en fonction de la valeur litigieuse. Sans préjudice de l'art. 18 LaCC, il peut s'écarter de plus ou moins 10% pour tenir compte des éléments rappelés à l'art. 84 (art. 85 al. 1 RTFMC).</w:t>
      </w:r>
    </w:p>
    <w:p>
      <w:r>
        <w:t>Pour les affaires relevant de la loi fédérale sur la poursuite pour dettes et la faillite, le défraiement est, dans la règle, réduit à deux tiers et au plus à un cinquième de l'art. 85 (art. 89 RTFMC).</w:t>
      </w:r>
    </w:p>
    <w:p>
      <w:r>
        <w:t>Les débours nécessaires sont estimés, sauf éléments contraires, à 3% du défraiement et s'ajoutent à ceux-ci (art. 20 LaCC).</w:t>
      </w:r>
    </w:p>
    <w:p>
      <w:r>
        <w:t>La juridiction fixe les dépens d'après le dossier en chiffres ronds incluant la taxe sur la valeur ajoutée (art. 21 al. 1 LaCC).</w:t>
      </w:r>
    </w:p>
    <w:p>
      <w:r>
        <w:t>- 6/7 -</w:t>
      </w:r>
    </w:p>
    <w:p>
      <w:r>
        <w:t>C/3712/2011</w:t>
      </w:r>
    </w:p>
    <w:p>
      <w:r>
        <w:rPr>
          <w:b/>
        </w:rPr>
        <w:t>E. 5.2</w:t>
      </w:r>
    </w:p>
    <w:p>
      <w:r>
        <w:t>En l'espèce, la valeur litigieuse s'élevait, en première instance, à 29'600 fr. Selon l'art. 85 al. 1 RTFMC, le défraiement est de 4'956 fr. (3'900 fr plus 11% de 9'600 fr.). Majoré de 10% et réduit à deux tiers, il ascende 3'634 fr. A ce montant s'ajoute 3% de débours et 8% de TVA, soit 4'042 TTC. En fixant le défraiement à 4'000 fr., le premier juge a certes correctement appliqué les principes énoncés par le règlement des frais et la LaCC, mais il est parvenu à un résultat qui accorde à l'avocat une rémunération excessive au vu de son activité limitée. En application de l'art. 18 LaCC, le défraiement sera réduit à 1'500 fr. TTC devant le premier juge. Le jugement sera en conséquence modifié sur ce point.</w:t>
      </w:r>
    </w:p>
    <w:p>
      <w:r>
        <w:rPr>
          <w:b/>
        </w:rPr>
        <w:t>E. 6</w:t>
      </w:r>
    </w:p>
    <w:p>
      <w:r>
        <w:t>Le recourant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300 fr. et mis à la charge du recourant, compensé avec l'avance de frais opérée par celui-ci (art. 111 CPC). Le recourant sera également condamné aux dépens de la citée assistée d'un conseil devant la Cour, arrêtés à 410 fr. TTC, dès lors que la valeur litigieuse en appel a été réduite à 2'000 fr. (art. 96 et 105 al. 2 CPC; art. 85 et 90 RTFMC; art. 20 et 21 LaCC).</w:t>
      </w:r>
    </w:p>
    <w:p>
      <w:r>
        <w:rPr>
          <w:b/>
        </w:rPr>
        <w:t>E. 7</w:t>
      </w:r>
    </w:p>
    <w:p>
      <w:r>
        <w:t>La valeur litigieuse, au sens de l'art. 51 LTF, est inférieure à 30'000 fr. * * * * *</w:t>
      </w:r>
    </w:p>
    <w:p>
      <w:r>
        <w:t>- 7/7 -</w:t>
      </w:r>
    </w:p>
    <w:p>
      <w:r>
        <w:t>C/3712/2011 PAR CES MOTIFS, La Chambre civile : A la forme : Déclare recevable l'appel interjeté par A_______ contre le jugement JTPI/9493/2011 rendu le 27 mai 2011 par le Tribunal de première instance dans la cause C/3712/2011-</w:t>
      </w:r>
    </w:p>
    <w:p>
      <w:r>
        <w:rPr>
          <w:b/>
        </w:rPr>
        <w:t>E. 10</w:t>
      </w:r>
    </w:p>
    <w:p>
      <w:r>
        <w:t>SML. Au fond : Annule le chiffe 4 du dispositif de ce jugement. Et, statuant à nouveau : Condamne A_______ à payer à B_______ 1'500 fr. TTC à titre de dépens. Confirme le jugement JTPI/9493/2011 rendu le 27 mai 2011 pour le surplus. Arrête les frais judiciaires à 300 fr. et les met à charge de A_______. Dit que les frais judiciaires sont couverts par l'avance de frais opérée par A_______. Condamne A_______ à payer à B_______ 410 fr. TTC à titre de dépens. Déboute les parties de toutes autres conclusions. Siégeant : Monsieur Pierre CURTIN, président; Monsieur Jean-Marc STRUBIN et Madame Nathalie LANDRY-BARTHE, juges; Madame Fatina SCHAERER, greffier.</w:t>
      </w:r>
    </w:p>
    <w:p>
      <w:r>
        <w:t>Le président : Pierre CURTIN</w:t>
      </w:r>
    </w:p>
    <w:p>
      <w:r>
        <w:t>Le greffier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