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ACJC/1116/2016 vom 2. September 2016</w:t>
      </w:r>
    </w:p>
    <w:p>
      <w:r>
        <w:t>GE Cour de justice, 2016-09-02, FR</w:t>
      </w:r>
    </w:p>
    <w:p>
      <w:r>
        <w:rPr>
          <w:b/>
        </w:rPr>
        <w:t xml:space="preserve">Quelle: </w:t>
      </w:r>
      <w:r>
        <w:t>https://mcp.opencaselaw.ch/entscheid/ge_gerichte_ACJC_1116_2016</w:t>
      </w:r>
    </w:p>
    <w:p>
      <w:r>
        <w:t>FR: GE_GERICHTE ACJC/1116/2016 du 2 septembre 2016</w:t>
      </w:r>
    </w:p>
    <w:p>
      <w:r>
        <w:t>IT: GE_GERICHTE ACJC/1116/2016 del 2 settembre 2016</w:t>
      </w:r>
    </w:p>
    <w:p>
      <w:pPr>
        <w:pStyle w:val="Heading2"/>
      </w:pPr>
      <w:r>
        <w:t>Erwägungen</w:t>
      </w:r>
    </w:p>
    <w:p>
      <w:r>
        <w:rPr>
          <w:b/>
        </w:rPr>
        <w:t>E. 5.1</w:t>
      </w:r>
    </w:p>
    <w:p>
      <w:r>
        <w:t>Les frais judiciaires d'appel seront mis à la charge des intimés, qui succombent (art. 106 al. 1 CPC). Ils seront arrêtés à 9'000 fr. (art. 7, 13, 17 et 35 du Règlement fixant le tarif des frais en matière civile, RTFMC - E 1 05.10), et compensés à due concurrence avec l'avance de frais opérée par l'appelant, laquelle reste partiellement acquise à l'État (art. 111 al. 1 CPC). Les intimés seront dès lors condamnés, conjointement et solidairement, à verser la somme de 9'000 fr. à l'appelant.</w:t>
      </w:r>
    </w:p>
    <w:p>
      <w:r>
        <w:t>Les intimés seront également condamnés, conjointement et solidairement, aux dépens d'appel de l'appelant, arrêtés à 3'000 fr., débours et TVA compris (art. 85 et 90 RTFMC; art. 20, 23, 25 et 26 LaCC; ATF 93 I 116 consid. 5a).</w:t>
      </w:r>
    </w:p>
    <w:p>
      <w:r>
        <w:rPr>
          <w:b/>
        </w:rPr>
        <w:t>E. 5.2</w:t>
      </w:r>
    </w:p>
    <w:p>
      <w:r>
        <w:t>La cause étant renvoyée au Tribunal pour nouvelle décision, les frais et dépens de première instance seront fixés dans le jugement à rendre. Il n'y a dès lors pas lieu de se prononcer sur la recevabilité de la note de frais relative à la première instance, produite par l'appelant. * * * * *</w:t>
      </w:r>
    </w:p>
    <w:p>
      <w:r>
        <w:t>- 12/13 -</w:t>
      </w:r>
    </w:p>
    <w:p>
      <w:r>
        <w:t>C/18450/2014 PAR CES MOTIFS, La Chambre civile : A la forme : Déclare recevable l'appel interjeté par A______ le 1er février 2016 contre le jugement JTPI/15688/2015 rendu le 23 décembre 2015 par le Tribunal de première instance dans la cause C/18450/2014-17. Au fond : Annule le jugement attaqué. Et, statuant à nouveau : Constate la compétence ratione loci des tribunaux genevois, en particulier le Tribunal de première instance. Renvoie la cause audit Tribunal pour instruction et décision sur le fond. Sur les frais d'appel : Arrête les frais judiciaires à 9'000 fr., les met à la charge de B______ et C______, conjointement et solidairement et les compense, à due concurrence, avec l'avance de frais versée par A______, qui reste acquise partiellement à l'État. Condamne B______ et C______, conjointement et solidairement, à verser à A______ la somme de 9'000 fr. à titre de remboursement de l'avance de frais. Invite l'État de Genève, soit pour lui les Services financiers du Pouvoir judiciaire, à restituer à A______ le solde de l'avance de frais en 28'420 fr. Condamne B______ et C______, conjointement et solidairement, à verser à A______ la somme de 3'000 fr. à titre de dépens. Siégeant : Madame Valérie LAEMMEL-JUILLARD, présidente; Madame Nathalie LANDRY-BARTHE et Monsieur Patrick CHENAUX, juges; Madame Audrey MARASCO, greffière.</w:t>
      </w:r>
    </w:p>
    <w:p>
      <w:r>
        <w:t>La présidente : Valérie LAEMMEL-JUILLARD</w:t>
      </w:r>
    </w:p>
    <w:p>
      <w:r>
        <w:t>La greffière : Audrey MARASCO</w:t>
      </w:r>
    </w:p>
    <w:p>
      <w:r>
        <w:t>- 13/13 -</w:t>
      </w:r>
    </w:p>
    <w:p>
      <w:r>
        <w:t>C/18450/2014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