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ACJC/1113/2022 vom 30. August 2022</w:t>
      </w:r>
    </w:p>
    <w:p>
      <w:r>
        <w:t>GE Cour de justice, 2022-08-30, FR</w:t>
      </w:r>
    </w:p>
    <w:p>
      <w:r>
        <w:rPr>
          <w:b/>
        </w:rPr>
        <w:t xml:space="preserve">Quelle: </w:t>
      </w:r>
      <w:r>
        <w:t>https://mcp.opencaselaw.ch/entscheid/ge_gerichte_ACJC_1113_2022</w:t>
      </w:r>
    </w:p>
    <w:p>
      <w:r>
        <w:t>FR: GE_GERICHTE ACJC/1113/2022 du 30 août 2022</w:t>
      </w:r>
    </w:p>
    <w:p>
      <w:r>
        <w:t>IT: GE_GERICHTE ACJC/1113/2022 del 30 agosto 2022</w:t>
      </w:r>
    </w:p>
    <w:p>
      <w:pPr>
        <w:pStyle w:val="Heading2"/>
      </w:pPr>
      <w:r>
        <w:t>Erwägungen</w:t>
      </w:r>
    </w:p>
    <w:p>
      <w:r>
        <w:rPr>
          <w:b/>
        </w:rPr>
        <w:t>E. 1.1</w:t>
      </w:r>
    </w:p>
    <w:p>
      <w:r>
        <w:t>Le recours a été formé dans les délais et forme prévus par la loi de sorte qu'il est recevable (art. 309 let. b ch. 3, 319 let a et 321 CPC).</w:t>
      </w:r>
    </w:p>
    <w:p>
      <w:r>
        <w:rPr>
          <w:b/>
        </w:rPr>
        <w:t>E. 1.2</w:t>
      </w:r>
    </w:p>
    <w:p>
      <w:r>
        <w:t>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w:t>
      </w:r>
    </w:p>
    <w:p>
      <w:r>
        <w:t>- 5/11 -</w:t>
      </w:r>
    </w:p>
    <w:p>
      <w:r>
        <w:t>C/19375/2021 tribunal (arrêt du Tribunal fédéral 5D_112/2013 du 15 août 2013 consid. 2.2.3; 5A_750/2016 du 15 novembre 2016 consid. 2.1).</w:t>
      </w:r>
    </w:p>
    <w:p>
      <w:r>
        <w:t>L'écriture spontanée déposée par la partie recourante le 27 mai 2022, soit plus de dix jours après réception de la réponse au recours des intimés le 5 mai 2022 est irrecevable car tardive. Il en va de même des écritures déposées par les parties les 7 et 20 juin 2022 ainsi que le 4 juillet 2022.</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Les conclusions, allégations de fait et preuves nouvelles sont irrecevables (art. 326 al. 2 CPC).</w:t>
      </w:r>
    </w:p>
    <w:p>
      <w:r>
        <w:rPr>
          <w:b/>
        </w:rPr>
        <w:t>E. 2</w:t>
      </w:r>
    </w:p>
    <w:p>
      <w:r>
        <w:t>Le Tribunal a considéré que les décisions produites par les intimés constituaient des titres de mainlevées définitive de l'opposition formée par la partie recourante. Elles étaient exécutoire puisque seule la procédure de séquestre n° 1______ avait été suspendue par le Tribunal fédéral par ordonnance du 18 octobre 2021. La compensation soulevée par la partie recourante devait être rejetée car celle-ci n'avait pas produit les titres sur lesquels elle se fondait.</w:t>
      </w:r>
    </w:p>
    <w:p>
      <w:r>
        <w:t>La partie recourante fait valoir que "l'exigibilité des montant litigieux est (…) intimement liée à l'issue de la présente procédure et ne peut être prononcée avant que le Tribunal n'ait statué sur le fond, sauf à priver le recours actuellement pendant de sa substance". L'octroi de la mainlevée pour des intérêts courant depuis des dates antérieures au 29 avril 2021 violait l'art. 80 LP. La compensation devait être admise car les décisions concernées "pouvaient aisément être vérifiées sur internet, voire sur intraPJ; le dispositif de ces décisions était ainsi notoire", ce d'autant plus que la magistrate ayant rendu la décision litigieuse dans la présente cause était celle qui avait instruit l'affaire dans laquelle les décisions opposées en compensation avaient été rendues.</w:t>
      </w:r>
    </w:p>
    <w:p>
      <w:r>
        <w:t>2.1.1 Aux termes de l'art. 80 al. 1 LP, le créancier qui est au bénéfice d'un jugement exécutoire peut requérir du juge la mainlevée définitive de l'opposition.</w:t>
      </w:r>
    </w:p>
    <w:p>
      <w:r>
        <w:t>En vertu de l'art. 81 al. 1 LP, lorsque la poursuite est fondée sur un jugement exécutoire rendu par un tribunal, le juge ordonne la mainlevée définitive de l'opposition, à moins que l'opposant ne prouve par titre que la dette a été éteinte</w:t>
      </w:r>
    </w:p>
    <w:p>
      <w:r>
        <w:t>- 6/11 -</w:t>
      </w:r>
    </w:p>
    <w:p>
      <w:r>
        <w:t>C/19375/2021 ou qu'il a obtenu un sursis, postérieurement au jugement, ou qu'il ne se prévale de la prescription.</w:t>
      </w:r>
    </w:p>
    <w:p>
      <w:r>
        <w:t>Une décision acquiert force exécutoire au moment où elle ne peut plus être attaquée par une voie de recours qui a, de par la loi, un effet suspensif. Le recours au Tribunal fédéral n'a sauf exception pas d'effet suspensif. Lorsque, devant la juridiction cantonale d'appel, le caractère exécutoire de la décision de première instance était suspendu, la décision de la juridiction cantonale supérieure est en principe exécutoire dès son prononcé (ABBET/VEUILLET, La mainlevée de l'opposition, 2017, n. 49 et 66, ad art. 80 LP).</w:t>
      </w:r>
    </w:p>
    <w:p>
      <w:r>
        <w:t>2.1.2 L'extinction de la dette au sens de l'art. 81 al. 1 LP doit être prouvée par titre; le poursuivi doit en apporter la preuve stricte. Seul un écrit constitue un tel titre (ABBET/ VEUILLET, op. cit, n. 6, ad art. 81 LP).</w:t>
      </w:r>
    </w:p>
    <w:p>
      <w:r>
        <w:t>Par extinction de la dette, la loi ne vise pas seulement le paiement, mais aussi toute autre cause de droit civil, en particulier la compensation (ATF 124 III 501 consid. 3b; arrêt du Tribunal fédéral 5A_49/2020 du 6 mai 2020 consid. 4.1). Un tel moyen ne peut toutefois être retenu que si la créance compensante résulte elle- même d'un titre exécutoire ou qu'elle est admise sans réserve par le poursuivant (ATF 136 III 624 consid. 4.2.1; 115 III 97 consid. 4). Par titre exécutoire prouvant l'extinction par compensation, on entend celui qui justifierait lui-même la mainlevée définitive ou à tout le moins la mainlevée provisoire (arrêts du Tribunal fédéral 5A_49/2020 précité consid. 4.1;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124 III 501 consid. 3b; arrêt du Tribunal fédéral 5A_49/2020 précité consid. 4.1).</w:t>
      </w:r>
    </w:p>
    <w:p>
      <w:r>
        <w:t>Selon l'art. 120 al. 1 CO, lorsque deux personnes sont débitrices l’une envers l’autre de sommes d’argent ou d’autres prestations de même espèce, chacune des parties peut compenser sa dette avec sa créance, si les deux dettes sont exigibles.</w:t>
      </w:r>
    </w:p>
    <w:p>
      <w:r>
        <w:t>Le débiteur qui fait valoir la compensation doit établir les conditions de celle-ci, à savoir la réciprocité des créances, l'identité des prestations dues, l'exigibilité et la déductibilité en justice de la créance compensante (ABBET/ VEUILLET, op. cit., n. 14, ad art. 81 LP).</w:t>
      </w:r>
    </w:p>
    <w:p>
      <w:r>
        <w:t>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w:t>
      </w:r>
    </w:p>
    <w:p>
      <w:r>
        <w:t>- 7/11 -</w:t>
      </w:r>
    </w:p>
    <w:p>
      <w:r>
        <w:t>C/19375/2021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w:t>
      </w:r>
    </w:p>
    <w:p>
      <w:r>
        <w:t>2.1.3 La procédure de mainlevée définitive est une procédure sur pièces dont l'objet est l'existence d'un titre exécutoire. C'est par titres que le poursuivi doit prouver ses moyens libératoires. La preuve de ceux-ci ne peut résulter que d'un titre au sens étroit, à savoir un écrit. Les titres produits comme moyens de preuve par le poursuivant doivent quant à eux être annexés à la requête (ABBET/VEUILLET, op. cit., n. 58 et 59, ad art. 84 LP).</w:t>
      </w:r>
    </w:p>
    <w:p>
      <w:r>
        <w:t>2.1.4 Selon l'art. 151 CPC, les faits notoires ou notoirement connus du tribunal et les règles d’expérience généralement reconnues ne doivent pas être prouvés.</w:t>
      </w:r>
    </w:p>
    <w:p>
      <w:r>
        <w:t>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w:t>
      </w:r>
    </w:p>
    <w:p>
      <w:r>
        <w:rPr>
          <w:b/>
        </w:rPr>
        <w:t>E. 2.2</w:t>
      </w:r>
    </w:p>
    <w:p>
      <w:r>
        <w:t>En l'espèce, le Tribunal a retenu à juste titre que les décisions produites par les intimées comme titres de mainlevée définitive étaient exécutoires, à savoir les ACJC/1155/2017, 964/2020 et 534/2021, ainsi que les ordonnances de séquestre du 14 mai 2021 (n° 3______ et 4______).</w:t>
      </w:r>
    </w:p>
    <w:p>
      <w:r>
        <w:t>En effet, les arrêts de la Cour sont devenus exécutoires dès leur prononcé, conformément aux principes juridiques susmentionnés. Par son ordonnance du 18 octobre 2021 le Tribunal fédéral n'a pas remis en cause la force exécutoire des condamnations pécuniaires figurant dans ces décisions.</w:t>
      </w:r>
    </w:p>
    <w:p>
      <w:r>
        <w:t>Les deux ordonnances de séquestre du 14 mai 2021 ont quant à elles été confirmées par des jugements sur opposition des 21 et 26 janvier 2022, lesquels n'ont pas été frappés de recours et qui sont dès lors définitifs et exécutoires.</w:t>
      </w:r>
    </w:p>
    <w:p>
      <w:r>
        <w:t>Les décisions précitées sont donc bien des titres de mainlevée définitive au sens de l'art. 80 al. 1 LP.</w:t>
      </w:r>
    </w:p>
    <w:p>
      <w:r>
        <w:t>La partie recourante n'a quant à elle pas prouvé par titre que sa dette était éteinte par compensation au sens de l'art. 81 al. 1 LP.</w:t>
      </w:r>
    </w:p>
    <w:p>
      <w:r>
        <w:t>- 8/11 -</w:t>
      </w:r>
    </w:p>
    <w:p>
      <w:r>
        <w:t>C/19375/2021</w:t>
      </w:r>
    </w:p>
    <w:p>
      <w:r>
        <w:t>Le fait que le Tribunal fédéral ait considéré, dans certains arrêts, que les faits ressortant d'une autre procédure entre les mêmes parties étaient des faits notoires qui échappaient à l'interdiction de l'allégation des nova n'est pas déterminant. Cette jurisprudence n'a pas pour objectif de dispenser le débiteur poursuivi de produire les titres qu'il invoque à l'appui de sa position, étant rappelé que la procédure de mainlevée de l'opposition est une procédure sur pièces et que les preuves doivent être rapportées par des titres, notion qui s'entend au sens étroit.</w:t>
      </w:r>
    </w:p>
    <w:p>
      <w:r>
        <w:t>Il incombait dès lors à la partie recourante de produire les décisions judiciaires dont elle se prévaut à l'appui de son exception de compensation.</w:t>
      </w:r>
    </w:p>
    <w:p>
      <w:r>
        <w:t>En tout état de cause, même à supposer que la partie recourante était en droit d'invoquer la compensation sans produire les titres dont elle se prévalait à l'appui de cette objection, il n'en demeure pas moins qu'elle n'a établi la réalisation d'aucune des conditions prévues par l'art. 120 al. 1 CO, à savoir la réciprocité des créances, l'identité des prestations dues, l'exigibilité et la déductibilité en justice de la créance compensante.</w:t>
      </w:r>
    </w:p>
    <w:p>
      <w:r>
        <w:t>Le Tribunal a par conséquent considéré à bon droit que la partie recourante n'avait pas prouvé par titre l'extinction de sa dette.</w:t>
      </w:r>
    </w:p>
    <w:p>
      <w:r>
        <w:t>La partie recourante fait valoir pour la première fois devant la Cour que les montants "énumérés dans la décision attaquée doivent porter intérêts à compter du 29 avril 2021, soit le lendemain du prononcé de l'arrêt ACJC/534/2021, étant rappelé que l'effet suspensif a été octroyé par le Tribunal fédéral suite au recours en matière civile déposé le 7 juin 2021 contre les arrêts ACJC/1155/2017, 964/2020 et 534/2021".</w:t>
      </w:r>
    </w:p>
    <w:p>
      <w:r>
        <w:t>A supposer que cet argument, formulé pour la première fois devant la Cour, soit recevable, ce qui est douteux, il serait de toute manière infondé.</w:t>
      </w:r>
    </w:p>
    <w:p>
      <w:r>
        <w:t>Comme relevé précédemment, la partie recourante n'a produit aucune décision du Tribunal fédéral de laquelle il ressort que l'effet suspensif a été octroyé à son recours du 7 juin 2021 en ce qui concerne les condamnations pécuniaires contenues dans l'arrêt de la Cour du 28 avril 2021.</w:t>
      </w:r>
    </w:p>
    <w:p>
      <w:r>
        <w:t>Il n'y a dès lors pas lieu de modifier la décision querellée en ce qui concerne le point de départ des intérêts moratoires.</w:t>
      </w:r>
    </w:p>
    <w:p>
      <w:r>
        <w:t>Les chiffres 1, 2 et 4 du dispositif du jugement querellé seront dès lors confirmés.</w:t>
      </w:r>
    </w:p>
    <w:p>
      <w:r>
        <w:rPr>
          <w:b/>
        </w:rPr>
        <w:t>E. 3</w:t>
      </w:r>
    </w:p>
    <w:p>
      <w:r>
        <w:t>La partie recourante conteste le montant de 4'278 fr. qu'elle a été condamnée à verser aux intimés à titre de dépens, qu'il juge inéquitable et arbitraire.</w:t>
      </w:r>
    </w:p>
    <w:p>
      <w:r>
        <w:rPr>
          <w:b/>
        </w:rPr>
        <w:t>E. 3.1</w:t>
      </w:r>
    </w:p>
    <w:p>
      <w:r>
        <w:t>Selon l'art.106 al. 1 CPC, les frais sont mis à la charge de la partie succombante.</w:t>
      </w:r>
    </w:p>
    <w:p>
      <w:r>
        <w:t>- 9/11 -</w:t>
      </w:r>
    </w:p>
    <w:p>
      <w:r>
        <w:t>C/19375/2021</w:t>
      </w:r>
    </w:p>
    <w:p>
      <w:r>
        <w:t>Le défraiement d'un représentant professionnel est, en règle générale, proportionnel à la valeur litigieuse et fixé d'après l'importance de la cause, ses difficultés, l'ampleur du travail et le temps employé (art. 84 RTFMC).</w:t>
      </w:r>
    </w:p>
    <w:p>
      <w:r>
        <w:t>Pour une valeur litigieuse située jusqu'à 300'000 fr., les dépens sont fixés à 14'500 fr., plus 3,5% de la valeur litigieuse dépassant 160'00 fr., étant précisé que le juge peut s'en écarter de plus ou moins 10% pour tenir compte des éléments rappelés à l'art. 84 RTFMC (art. 85 RTFMC).</w:t>
      </w:r>
    </w:p>
    <w:p>
      <w:r>
        <w:t>Les débours, en 3%, et la TVA s'ajoutent au montant obtenu (art. 25 et 26 LaCC).</w:t>
      </w:r>
    </w:p>
    <w:p>
      <w:r>
        <w:t>Pour les procédures sommaires, le défraiement est, dans la règle, réduit à deux tiers et au plus à un cinquième du tarif de l'art. 85 RTFMC (art. 88 RTFMC).</w:t>
      </w:r>
    </w:p>
    <w:p>
      <w:r>
        <w:t>Pour les affaires judiciaires relevant de la LP, le défraiement est, dans la règle, réduit à deux tiers et au plus à un cinquième du tarif de l'art. 85 RTFMC (art. 89 RTFMC).</w:t>
      </w:r>
    </w:p>
    <w:p>
      <w:r>
        <w:t>Le défraiement est réduit dans la règle d'un à deux tiers par rapport au tarif de l'art. 85 RTFMC dans les procédures de recours (art. 90 RTFMC).</w:t>
      </w:r>
    </w:p>
    <w:p>
      <w:r>
        <w:t>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w:t>
      </w:r>
    </w:p>
    <w:p>
      <w:r>
        <w:rPr>
          <w:b/>
        </w:rPr>
        <w:t>E. 3.2</w:t>
      </w:r>
    </w:p>
    <w:p>
      <w:r>
        <w:t>En l'espèce, la valeur litigieuse est de 300'000 fr. environ, de sorte que le montant prévu par l'art. 85 RTFMC est de 19'400 fr., auquel s'ajoutent 3% de débours, soit 19'982 fr.</w:t>
      </w:r>
    </w:p>
    <w:p>
      <w:r>
        <w:t>Après réduction en application des articles 88 et 89 RTFMC, la fourchette de dépens prévue par ledit règlement se situe entre 800 fr. (réduction à deux fois 1/5) et 8'880 fr. (réduction de deux fois 1/3).</w:t>
      </w:r>
    </w:p>
    <w:p>
      <w:r>
        <w:t>Le montant alloué par le Tribunal en 4'278 fr. est dès lors conforme à la loi, étant souligné que celui-ci n'a, contrairement à ce que prétend la partie recourante, pas tenu compte de la TVA.</w:t>
      </w:r>
    </w:p>
    <w:p>
      <w:r>
        <w:t>Il n'y a pas lieu de réduire cette somme en considération du fait que la présente cause est similaire à la procédure introduite par les intimés contre A______. Il n'y a pas non plus de disproportion manifeste entre la valeur litigieuse et l'intérêt des parties au procès ou entre le taux applicable et le travail effectif de l'avocat au sens de l'art. 23 LaCC.</w:t>
      </w:r>
    </w:p>
    <w:p>
      <w:r>
        <w:t>Compte tenu de ce qui précède, le jugement querellé sera entièrement confirmé.</w:t>
      </w:r>
    </w:p>
    <w:p>
      <w:r>
        <w:t>- 10/11 -</w:t>
      </w:r>
    </w:p>
    <w:p>
      <w:r>
        <w:t>C/19375/2021</w:t>
      </w:r>
    </w:p>
    <w:p>
      <w:r>
        <w:rPr>
          <w:b/>
        </w:rPr>
        <w:t>E. 4</w:t>
      </w:r>
    </w:p>
    <w:p>
      <w:r>
        <w:t>Les frais et dépens de recours seront mis à charge de la partie recourante qui succombe (art. 106 CPC).</w:t>
      </w:r>
    </w:p>
    <w:p>
      <w:r>
        <w:t>Les frais judiciaires seront fixés à 1'325 fr. et compensés avec l'avance versée par la partie recourante, acquise à l'Etat de Genève (art. 48 et 61 OELP; 111 CPC).</w:t>
      </w:r>
    </w:p>
    <w:p>
      <w:r>
        <w:t>Les dépens de recours seront fixés à 2'500 fr. débours compris (art. 84, 85 et 88 à 90 RTFMC; 25 et 26 LaCC). * * * * *</w:t>
      </w:r>
    </w:p>
    <w:p>
      <w:r>
        <w:t>- 11/11 -</w:t>
      </w:r>
    </w:p>
    <w:p>
      <w:r>
        <w:t>C/19375/2021 PAR CES MOTIFS, La Chambre civile : A la forme : Déclare recevable le recours interjeté par A______ contre le jugement JTPI/4571/2022 rendu le 8 avril 2022 par le Tribunal de première instance dans la cause C/19375/2021-3 SML. Au fond : Rejette ce recours. Déboute les parties de toutes autres conclusions. Sur les frais : Met à charge de A______ les frais judiciaires de recours arrêtés à 1'325 fr. et compensés avec l'avance versée, acquise à l'Etat de Genève. Condamne A______ à verser à C______ et B______, pris solidairement, 2'500 fr. à titre de dépens de recours.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