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ACJC/1113/2014 vom 22. September 2014</w:t>
      </w:r>
    </w:p>
    <w:p>
      <w:r>
        <w:t>GE Cour de justice, 2014-09-22, FR</w:t>
      </w:r>
    </w:p>
    <w:p>
      <w:r>
        <w:rPr>
          <w:b/>
        </w:rPr>
        <w:t xml:space="preserve">Quelle: </w:t>
      </w:r>
      <w:r>
        <w:t>https://mcp.opencaselaw.ch/entscheid/ge_gerichte_ACJC_1113_2014</w:t>
      </w:r>
    </w:p>
    <w:p>
      <w:r>
        <w:t>FR: GE_GERICHTE ACJC/1113/2014 du 22 septembre 2014</w:t>
      </w:r>
    </w:p>
    <w:p>
      <w:r>
        <w:t>IT: GE_GERICHTE ACJC/1113/2014 del 22 settembre 2014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juillet 2014 pour arriver à échéance le 14 juillet 2014; Que l'appel a été interjeté par B.______ en tant que représentante de A.______ SARL sur du papier à en-tête de cette société et non pas en son nom propre; Que l'appel expédié le 16 juillet est ainsi tardif; Qu'en conséquence il sera déclaré irrecevable; Que la procédure est gratuite (art. 22 al. 1 LaCC). * * * * *</w:t>
      </w:r>
    </w:p>
    <w:p>
      <w:r>
        <w:t>- 3/3 -</w:t>
      </w:r>
    </w:p>
    <w:p>
      <w:r>
        <w:t>C/750/2014 PAR CES MOTIFS, La Chambre des baux et loyers :</w:t>
      </w:r>
    </w:p>
    <w:p>
      <w:r>
        <w:t>Déclare irrecevable l'appel interjeté le 16 juillet 2014 par A.______ SARL contre le jugement JTBL/709/2014 rendu le 18 juin 2014 par le Tribunal des baux et loyers dans la cause C/750/2014-8 SE. Dit que la procédure est gratuite. Siégeant : Madame Pauline ERARD, présidente; Madame Sylvie DROIN et Monsieur Ivo BUETTI, juges; Madame Maïté VALENTE, greffière.</w:t>
      </w:r>
    </w:p>
    <w:p>
      <w:r>
        <w:t>La présidente : Pauline ERARD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 (cf.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