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ACJC/1112/2019 vom 19. Juli 2019</w:t>
      </w:r>
    </w:p>
    <w:p>
      <w:r>
        <w:t>GE Cour de justice, 2019-07-19, FR</w:t>
      </w:r>
    </w:p>
    <w:p>
      <w:r>
        <w:rPr>
          <w:b/>
        </w:rPr>
        <w:t xml:space="preserve">Quelle: </w:t>
      </w:r>
      <w:r>
        <w:t>https://mcp.opencaselaw.ch/entscheid/ge_gerichte_ACJC_1112_2019</w:t>
      </w:r>
    </w:p>
    <w:p>
      <w:r>
        <w:t>FR: GE_GERICHTE ACJC/1112/2019 du 19 juillet 2019</w:t>
      </w:r>
    </w:p>
    <w:p>
      <w:r>
        <w:t>IT: GE_GERICHTE ACJC/1112/2019 del 19 luglio 2019</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Les parties ont produit de nouvelles pièces.</w:t>
      </w:r>
    </w:p>
    <w:p>
      <w:r>
        <w:rPr>
          <w:b/>
        </w:rPr>
        <w:t>E. 2.1</w:t>
      </w:r>
    </w:p>
    <w:p>
      <w:r>
        <w:t>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w:t>
      </w:r>
    </w:p>
    <w:p>
      <w:r>
        <w:t>- 8/13 -</w:t>
      </w:r>
    </w:p>
    <w:p>
      <w:r>
        <w:t>C/1630/2019 précité consid. 3.6.1; cf. également arrêt du Tribunal fédéral 5A_711/2012 du 17 décembre 2012 consid. 5.2 in fine et la référence).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5A_243/2019 du 17 mai 2019 consid. 3.1; 5A_625/2015 précité consid. 3.6.1). Les faits qui sont immédiatement connus du Tribunal ("gerichtsnotorische Tatsachen"), notamment parce qu'ils ressortent d'une autre procédure entre les mêmes parties, peuvent être pris en considération même en l'absence d'allégation ou d'offre de preuve correspondante (arrêt 5P_205/2004 du 20 août 2004 consid. 3.3 et la citation doctrinale). Il s'agit en effet de faits notoires qui n'ont pas à être prouvés et ne peuvent pas être considérés comme nouveaux (arrêts du Tribunal fédéral 5A_610/2016 du 3 mai 2017 consid. 3.1; 4A_269/2010 du 23 août 2010 consid. 1.3, publié in SJ 2011 I 58; sur la notion de fait notoire en général, cf. ATF 135 III 88 consid. 4.1).</w:t>
      </w:r>
    </w:p>
    <w:p>
      <w:r>
        <w:rPr>
          <w:b/>
        </w:rPr>
        <w:t>E. 2.2</w:t>
      </w:r>
    </w:p>
    <w:p>
      <w:r>
        <w:t>En l'espèce, les pièces versées par la recourante à l'appui de son acte de recours concernent des pseudo novas (pièces n. 16 à 22), de sorte qu'elles sont recevables. La pièce n. 23 est une ordonnance rendue par le Tribunal dans une autre procédure opposant les mêmes parties, de sorte qu'elle n'est pas nouvelle. La pièce n. 24 fait partie de la procédure. Quant à la pièce n. 25 versée à l'appui de la réplique, elle a été établie en 2012 et la recourante n'explique pas pour quelle raison elle aurait été empêchée de la produire à l'appui de son recours, de sorte qu'elle est irrecevable. Elle n'est en tout état pas déterminante pour l'issue du litige.</w:t>
      </w:r>
    </w:p>
    <w:p>
      <w:r>
        <w:t>Les pièces produites par l'intimée avec sa réponse sont des faits notoires.</w:t>
      </w:r>
    </w:p>
    <w:p>
      <w:r>
        <w:rPr>
          <w:b/>
        </w:rPr>
        <w:t>E. 3</w:t>
      </w:r>
    </w:p>
    <w:p>
      <w:r>
        <w:t>La recourante reproche au Tribunal d'avoir admis la qualité de créancière de l'intimée.</w:t>
      </w:r>
    </w:p>
    <w:p>
      <w:r>
        <w:rPr>
          <w:b/>
        </w:rPr>
        <w:t>E. 3.1</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5P_290/2006 du 12 octobre 2006 consid. 3.1.2 et 5A_652/2011 du 28 février 2012 consid. 3.21) et que celle qui est signée se réfère directement à celle qui comporte un montant déterminé (ATF 132 III 480 consid. 4.1); autrement dit, la</w:t>
      </w:r>
    </w:p>
    <w:p>
      <w:r>
        <w:t>- 9/13 -</w:t>
      </w:r>
    </w:p>
    <w:p>
      <w:r>
        <w:t>C/1630/2019 signature doit figurer sur celui des documents qui impose une obligation au poursuivi et qui a un caractère décisif (GILLIERON, Commentaire de la loi fédérale sur la poursuite pour dettes et la faillite, 1999, n. 33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rPr>
          <w:b/>
        </w:rPr>
        <w:t>E. 3.2</w:t>
      </w:r>
    </w:p>
    <w:p>
      <w:r>
        <w:t>Un contrat écrit justifie en principe la mainlevée provisoire de l'opposition pour la somme d'argent incombant ou poursuivie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1er juin 2015 consid. 5.4.3.2; 5A_465/2014 du 20 août 2014 consid. 7.2.1.2 et les références citées).</w:t>
      </w:r>
    </w:p>
    <w:p>
      <w:r>
        <w:rPr>
          <w:b/>
        </w:rPr>
        <w:t>E. 3.3</w:t>
      </w:r>
    </w:p>
    <w:p>
      <w:r>
        <w:t>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(arrêts du Tribunal fédéral 5A_452/2016 du 12 octobre 2016 consid. 3.3; 5A_442/2015 du 11 septembre 2015 consid. 4.1.2 et les citations; 5A_117/2012 du 12 juillet 2012 consid. 3.2.2 et les références citée; CHABLOZ, L'ouverture de la faillite: situation actuelle et mise en perspective, in : RSDA 2016 p. 360 ch. 1.2). Il n'y a aucune raison de s'écarter du degré de preuve de la simple vraisemblance pour admettre la qualité de créancier (arrêt du Tribunal fédéral 5A_442/2015 précité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w:t>
      </w:r>
    </w:p>
    <w:p>
      <w:r>
        <w:t>- 10/13 -</w:t>
      </w:r>
    </w:p>
    <w:p>
      <w:r>
        <w:t>C/1630/2019 origine et de ses caractéristiques extérieures comme un tel titre, étant suffisante pour que sa qualité de créancier soit admise si le débiteur n'oppose pas et ne rend pas immédiatement vraisemblables des exceptions (consid. 6.1).</w:t>
      </w:r>
    </w:p>
    <w:p>
      <w:r>
        <w:t>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5A_711/2012 du 17 décembre 2012 consid. 5.2; 5A_439/2010 du 11 novembre 2010 consid. 4, publié in SJ 2011 I p. 175).</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w:t>
      </w:r>
    </w:p>
    <w:p>
      <w:r>
        <w:t>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Commentaire romand, LP, 2005, n. 2 ad art. 190 LP).</w:t>
      </w:r>
    </w:p>
    <w:p>
      <w:r>
        <w:rPr>
          <w:b/>
        </w:rPr>
        <w:t>E. 3.4</w:t>
      </w:r>
    </w:p>
    <w:p>
      <w:r>
        <w:t>Selon l'art. 2 al. 1 CC, chacun est tenu d'exercer ses droits et d'exécuter ses obligations selon les règles de la bonne foi. L'abus manifeste d'un droit n'est pas protégé par la loi (art. 2 al. 2 CC). Cette règle permet au juge de corriger les effets</w:t>
      </w:r>
    </w:p>
    <w:p>
      <w:r>
        <w:t>- 11/13 -</w:t>
      </w:r>
    </w:p>
    <w:p>
      <w:r>
        <w:t>C/1630/2019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«manifeste» utilisé dans le texte légal (ATF 143 III 279 consid. 3.1; 135 III 162 consid. 3.3.1 et les arrêts cités).</w:t>
      </w:r>
    </w:p>
    <w:p>
      <w:r>
        <w:rPr>
          <w:b/>
        </w:rPr>
        <w:t>E. 3.5</w:t>
      </w:r>
    </w:p>
    <w:p>
      <w:r>
        <w:t>En l'espèce, il est constant que les parties se sont liées par un contrat de mandat et que la recourante a accepté le devis établi par l'intimée, et portant sur un montant de 153'257 fr. 90. Il résulte de la procédure que la recourante a versé un montant total, hors taxes, de 101'250 fr. à l'intimée, laissant ainsi un solde en faveur de cette dernière de 52'007 fr. 90.</w:t>
      </w:r>
    </w:p>
    <w:p>
      <w:r>
        <w:t>La recourante admet que le bureau d'architectes en charge du suivi des travaux a validé trois devis complémentaires établis par l'intimée, d'un montant total de 30'840 fr., et que les travaux initiaux et complémentaires ont été exécutés.</w:t>
      </w:r>
    </w:p>
    <w:p>
      <w:r>
        <w:t>Il n'appartient pas à la Cour d'examiner les arguments de la recourante concernant l'existence ou non de pouvoirs de représentation dudit bureau d'architecte, ceux-ci devant faire l'objet de mesures d'instructions, lesquelles n'ont pas leur place dans une procédure sommaire. Par ailleurs, la procédure au fond opposant les parties et portant sur le paiement du solde du prix est actuellement pendante devant le Tribunal.</w:t>
      </w:r>
    </w:p>
    <w:p>
      <w:r>
        <w:t>En tout état, sans prendre en considération les travaux complémentaires, la recourante reste devoir, comme retenu ci-avant, 52'007 fr. 90 à l'intimée. Cette dernière a ainsi rendu vraisemblable sa qualité de créancière, comme l'a retenu à bon droit le Tribunal.</w:t>
      </w:r>
    </w:p>
    <w:p>
      <w:r>
        <w:t>Même à retenir la compensation invoquée par la recourante, en raison de défauts dont elle allègue que l'intimée serait responsable, la créance, contestée et non exigible, porte sur un montant de 43'197 fr. 85, soit un montant inférieur au solde du devis initial accepté par la recourante.</w:t>
      </w:r>
    </w:p>
    <w:p>
      <w:r>
        <w:t>En ce qui concerne la suspension de paiements, la recourante affirme que tant la créance de l'intimée, que les autres figurant dans les registres des poursuites ont été frappées d'opposition, de sorte qu'elles sont contestées.</w:t>
      </w:r>
    </w:p>
    <w:p>
      <w:r>
        <w:t>Entre 2014 et 2015, deux poursuites ont été introduites par l'administration fiscale, pour un montant de l'ordre de 33'000 fr. en I______.</w:t>
      </w:r>
    </w:p>
    <w:p>
      <w:r>
        <w:t>- 12/13 -</w:t>
      </w:r>
    </w:p>
    <w:p>
      <w:r>
        <w:t>C/1630/2019</w:t>
      </w:r>
    </w:p>
    <w:p>
      <w:r>
        <w:t>Il ressort de l'extrait relatif aux poursuites inscrites à Genève que trente-et-une poursuites y figurent, dont une seule a été payée, pour un montant proche de 520'000 fr. Neuf d'entre elles sont au stade de la continuation de la poursuite, toutes en faveur de créanciers de droit public, pour une somme totale de l'ordre de 183'000 fr. Trois comminations de faillite ont été notifiées à la recourante, au profit de créanciers privés, pour un montant proche de 112'000 fr. Six poursuites concernent le même partenaire commercial, soit J______ SA, pour un montant total de plus de 78'000 fr. Elle a par ailleurs formé opposition à douze commandements de payer, dont quatre émanent de créanciers de droit public. De plus, la recourante ne s'acquitte pas de dettes minimes, lesquelles concernent des créances de droit public, dès lors qu'elles portent sur des montants de 110 fr. et 287 fr. 90. Enfin, cinq actes de défauts de biens ont été délivrés à des créanciers de droit public, pour un montant total de 38'201 fr. 99.</w:t>
      </w:r>
    </w:p>
    <w:p>
      <w:r>
        <w:t>Compte tenu de l'ensemble des éléments qui précèdent, il est vraisemblable que la recourante ne paie plus ses créanciers, qu'ils soient ses partenaires commerciaux ou ses créanciers de droit public, de sorte qu'elle se trouve en situation de suspension de paiements.</w:t>
      </w:r>
    </w:p>
    <w:p>
      <w:r>
        <w:t>La Cour ne discerne aucun abus de droit de l'intimée de requérir la mise en faillite de la recourante. Il ne peut en effet être reproché d'avoir déposé une requête de faillite sans poursuite préalable puisqu'elle a rendu vraisemblable l'existence de sa créance, laquelle n'a pas été honorée.</w:t>
      </w:r>
    </w:p>
    <w:p>
      <w:r>
        <w:rPr>
          <w:b/>
        </w:rPr>
        <w:t>E. 3.6</w:t>
      </w:r>
    </w:p>
    <w:p>
      <w:r>
        <w:t>Toutes les conditions fixées par l'art. 190 al. 1 ch. 2 LP étant réunies, c'est à bon droit que le Tribunal a prononcé la faillite de la recourante. Le recours sera en conséquence rejeté.</w:t>
      </w:r>
    </w:p>
    <w:p>
      <w:r>
        <w:rPr>
          <w:b/>
        </w:rPr>
        <w:t>E. 3.7</w:t>
      </w:r>
    </w:p>
    <w:p>
      <w:r>
        <w:t>L'effet suspensif ayant été accordé au jugement entrepris, la faillite sera prononcée ce jour à 12h00.</w:t>
      </w:r>
    </w:p>
    <w:p>
      <w:r>
        <w:rPr>
          <w:b/>
        </w:rPr>
        <w:t>E. 4</w:t>
      </w:r>
    </w:p>
    <w:p>
      <w:r>
        <w:t>Les frais du recours seront mis à la charge de la recourante, qui succombe (art. 106 al. 1 CPC). Les frais judiciaires, comprenant l'émolument relatif à la décision sur effet suspensif, seront fixés à 750 fr. (art. 52 let. b et 61 al. 1 OELP), compensés avec l'avance de frais fournie, acquise à l'Etat de Genève (art. 111 al. 1 CPC). Les dépens dus à l'intimée, débours et TVA compris, seront fixés à 3'000 fr. (art. 85, 88 et 90 RTFMC). * * * * *</w:t>
      </w:r>
    </w:p>
    <w:p>
      <w:r>
        <w:t>- 13/13 -</w:t>
      </w:r>
    </w:p>
    <w:p>
      <w:r>
        <w:t>C/1630/2019 PAR CES MOTIFS, La Chambre civile : A la forme : Déclare recevable le recours interjeté le 4 avril 2019 par A______ contre le jugement JTPI/4201/2019 rendu le 21 mars 2019 par le Tribunal de première instance dans la cause C/1630/2019-22 SFC. Au fond : Le rejette. Confirme le jugement entrepris, la faillite de A______ prenant effet le 19 juillet 2019 à 12h00. Déboute les parties de toutes autres conclusions. Sur les frais : Arrête les frais judiciaires du recours à 750 fr., les met à la charge de A______ et les compense avec l'avance de frais fournie, acquise à l'Etat de Genève. Condamne A______ à verser 3'000 fr. à B______ SA, à titre de dépens de recours. Siégeant : Madame Nathalie LANDRY-BARTHE, présidente; Madame Fabienne GEISINGER- MARIETHOZ, Madame Nathalie RAPP, juges; Madame Mélanie DE RESENDE PEREIRA, greffière. 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