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ACJC/1111/2020 vom 8. Juli 2020</w:t>
      </w:r>
    </w:p>
    <w:p>
      <w:r>
        <w:t>GE Cour de justice, 2020-07-08, FR</w:t>
      </w:r>
    </w:p>
    <w:p>
      <w:r>
        <w:rPr>
          <w:b/>
        </w:rPr>
        <w:t xml:space="preserve">Quelle: </w:t>
      </w:r>
      <w:r>
        <w:t>https://mcp.opencaselaw.ch/entscheid/ge_gerichte_ACJC_1111_2020</w:t>
      </w:r>
    </w:p>
    <w:p>
      <w:r>
        <w:t>FR: GE_GERICHTE ACJC/1111/2020 du 8 juillet 2020</w:t>
      </w:r>
    </w:p>
    <w:p>
      <w:r>
        <w:t>IT: GE_GERICHTE ACJC/1111/2020 del 8 luglio 2020</w:t>
      </w:r>
    </w:p>
    <w:p>
      <w:pPr>
        <w:pStyle w:val="Heading2"/>
      </w:pPr>
      <w:r>
        <w:t>Volltext</w:t>
      </w:r>
    </w:p>
    <w:p>
      <w:r>
        <w:t>Le présent arrêt est communiqué aux parties par plis recommandés du 13.08.2020.</w:t>
      </w:r>
    </w:p>
    <w:p>
      <w:r>
        <w:t>REPUBLIQUE ET</w:t>
      </w:r>
    </w:p>
    <w:p>
      <w:r>
        <w:t>CANTON DE GENEVE POUVOIR JUDICIAIRE C/3316/2019 ACJC/1111/2020 ARRÊT DE LA COUR DE JUSTICE Chambre des baux et loyers DU MERCREDI 12 AOUT 2020</w:t>
      </w:r>
    </w:p>
    <w:p>
      <w:r>
        <w:t>Entre A______ SARL, sise ______, ______ (GE), recourante contre une ordonnance rendue par le Tribunal des baux et loyers le 8 juillet 2020, comparant par Me Bénédict FONTANET et Me Alexandre AYAD, avocats, boulevard des Philosophes 15, 1205 Genève, faisant élection de domicile en l'étude de ce dernier, et BANQUE B______ SOCIETE COOPERATIVE, sise ______, ______ (GE), intimée, comparant par Me Lucile BONAZ et Me Pierre GABUS, avocats, boulevard des Tranchées 46, 1206 Genève, faisant élection de domicile en l'étude de ce dernier.</w:t>
      </w:r>
    </w:p>
    <w:p>
      <w:r>
        <w:t>- 2/4 -</w:t>
      </w:r>
    </w:p>
    <w:p>
      <w:r>
        <w:t>C/3316/2019 Vu la procédure C/3316/2019, pendante devant le Tribunal des baux et loyers, en contestation des congés ordinaire et extraordinaires; Attendu, EN FAIT, que par ordonnance du 8 juillet 2020, expédiée pour notification aux parties le même jour, le Tribunal des baux et loyers a clôturé la phase d'administration des preuves et fixé un délai au 21 août 2020 pour le dépôt des plaidoiries finales écrites au greffe du Tribunal; Que par acte du 5 août 2020, A______ SARL a formé recours contre cette décision, sollicitant l'annulation de la décision déférée et concluant à ce que la Cour ordonne l'audition de deux témoins (C______ et D______); Que la recourante a conclu à titre préalable à la suspension de l'effet exécutoire attaché à l'ordonnance querellée dont le recours est assorti, faisant en substance valoir subir un préjudice difficilement réparable, les moyens de preuve requis par eux n'ayant pas été admis par les premiers juges; Que par détermination du 10 août 2020, l'intimée conclut au rejet de la demande d'effet suspensif; Considérant, EN DROIT,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 1); Qu'en la matière, l'instance d'appel dispose d'un large pouvoir d'appréciation (ATF 137 III 475 consid. 4.1; arrêts du Tribunal fédéral 5A_403/2015 du 28 août 2015 consid. 5; 5A_419/2014 du 9 octobre 2014 consid. 7.1.2);</w:t>
      </w:r>
    </w:p>
    <w:p>
      <w:r>
        <w:t>- 3/4 -</w:t>
      </w:r>
    </w:p>
    <w:p>
      <w:r>
        <w:t>C/3316/2019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qu'en l'espèce, l'existence d'un préjudice difficilement réparable est, prima facie et sans préjudice de l'examen au fond, douteuse; Qu'en tout état de cause la recourante pourrait attaquer l'ordonnance querellée avec la décision au fond (Message du Conseil fédéral CPC, FF 2006 6841, ad art. 316 p. 6984; BRUNNER, Kurzkommentar, Schweizerische Zivilprozessordnung ZPO, Basel 2010, n. 13 ad art. 319 CPC; BLICKENSTORFER, Kommentar Schweizerische Zivilprozessordnung (ZPO), Zurich/St-Gallen 2011 n. 40 ad art. 319 CPC); Que les faibles chances de succès du recours justifient dès lors le rejet de la requête de suspension de l'effet exécutoire attaché à la décision attaquée. * * * * *</w:t>
      </w:r>
    </w:p>
    <w:p>
      <w:r>
        <w:t>- 4/4 -</w:t>
      </w:r>
    </w:p>
    <w:p>
      <w:r>
        <w:t>C/3316/2019</w:t>
      </w:r>
    </w:p>
    <w:p>
      <w:r>
        <w:t>PAR CES MOTIFS, La Présidente de la Chambre des baux et loyers : Statuant sur la suspension de l'effet exécutoire : Rejette la requête tendant à la suspension de l'effet exécutoire attaché à l'ordonnance rendue le 8 juillet 2020 par le Tribunal des baux et loyers dans la cause C/3316/2019.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