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ACJC/1111/2014 vom 4. Februar 2014</w:t>
      </w:r>
    </w:p>
    <w:p>
      <w:r>
        <w:t>GE Cour de justice, 2014-02-04, FR</w:t>
      </w:r>
    </w:p>
    <w:p>
      <w:r>
        <w:rPr>
          <w:b/>
        </w:rPr>
        <w:t xml:space="preserve">Quelle: </w:t>
      </w:r>
      <w:r>
        <w:t>https://mcp.opencaselaw.ch/entscheid/ge_gerichte_ACJC_1111_2014</w:t>
      </w:r>
    </w:p>
    <w:p>
      <w:r>
        <w:t>FR: GE_GERICHTE ACJC/1111/2014 du 4 février 2014</w:t>
      </w:r>
    </w:p>
    <w:p>
      <w:r>
        <w:t>IT: GE_GERICHTE ACJC/1111/2014 del 4 febbraio 2014</w:t>
      </w:r>
    </w:p>
    <w:p>
      <w:pPr>
        <w:pStyle w:val="Heading2"/>
      </w:pPr>
      <w:r>
        <w:t>Erwägungen</w:t>
      </w:r>
    </w:p>
    <w:p>
      <w:r>
        <w:rPr>
          <w:b/>
        </w:rPr>
        <w:t>E. 1.1</w:t>
      </w:r>
    </w:p>
    <w:p>
      <w:r>
        <w:t>Le recours est recevable contre les décisions finales, incidentes et provision- nelles de première instance qui ne peuvent faire l'objet d'un appel (art. 319 let. a CPC). Dans les affaires patrimoniales, l'appel est recevable si la valeur litigieuse au der- nier état des conclusions est de 10'000 fr. au moins (art. 308 al. 2 CPC).</w:t>
      </w:r>
    </w:p>
    <w:p>
      <w:r>
        <w:t>- 5/9 -</w:t>
      </w:r>
    </w:p>
    <w:p>
      <w:r>
        <w:t>C/3979/2013 En l'espèce, la valeur litigieuse est de 3'118 fr. 85, de sorte que la voie du recours est ouverte.</w:t>
      </w:r>
    </w:p>
    <w:p>
      <w:r>
        <w:rPr>
          <w:b/>
        </w:rPr>
        <w:t>E. 1.2</w:t>
      </w:r>
    </w:p>
    <w:p>
      <w:r>
        <w:t>Le recours a été formé en temps utile et selon la forme prescrite (art. 130, 131 et 321 al. 1 CPC), de sorte qu'il est recevable.</w:t>
      </w:r>
    </w:p>
    <w:p>
      <w:r>
        <w:rPr>
          <w:b/>
        </w:rPr>
        <w:t>E. 1.3</w:t>
      </w:r>
    </w:p>
    <w:p>
      <w:r>
        <w:t>Dans le cadre d'un recours, la Cour de céans peut être saisie de griefs relevant de la constatation manifestement inexacte des faits et d'une violation de la loi (art. 320 CPC). Les conclusions, allégations de faits et preuves nouvelles sont irrecevables (art. 326 al. 1 CPC). En l'espèce, les pièces 7 et 8 déposées par l'intimée sont nou- velles et doivent par conséquent être déclarées irrecevables.</w:t>
      </w:r>
    </w:p>
    <w:p>
      <w:r>
        <w:rPr>
          <w:b/>
        </w:rPr>
        <w:t>E. 2.1</w:t>
      </w:r>
    </w:p>
    <w:p>
      <w:r>
        <w:t>A la fin du bail, le locataire doit restituer la chose dans l'état qui résulte d'un usage conforme au contrat (art. 267 al. 1 CO). Lors de la restitution, le bailleur doit vérifier l'état de la chose et aviser immédiatement le locataire des défauts dont celui-ci répond (art. 267a al. 1 CO). Il appartient ainsi au locataire de prendre en charge les dégâts qui excèdent l'usure normale de la chose. L'usure normale de la chose est fonction de sa destination et s'apprécie sur la base de tabelles déterminant la durée de vie moyenne des instal- lations, même s'il reste possible d'apporter des preuves concrètes. Il s'ensuit que le locataire doit supporter les frais de réparation de l'installation qui est affectée d'un défaut dû à l'usage anormal de la chose louée; il ne répond cependant pas de la va- leur à neuf de l'installation, mais de sa valeur actuelle compte tenu de la dépré- ciation de la chose due à l'écoulement du temps, le fardeau de la preuve incom- bant au bailleur (arrêts du Tribunal fédéral 4A_557/2012 du 7 janvier 2013 consid. 2.2; 4C.261/2006 du 1er novembre 2006 consid. 3.1, in SJ 2007 I p. 365; sur l'usage de la tabelle : cf. également 4C.131/1995 du 15 novembre 1995 consid. 2, in SJ 1996 p. 322). Le principe de l'amortissement des installations s'applique à toutes les installations de la chose louée (LACHAT, Le bail à loyer, Lausanne 2008, p. 810; BURKHALTER/MARTINEZ-FAVRE, Le droit suisse du bail à loyer, Commentaire, 2011, ad art. 267-267a, n. 24). A titre d'exemple, selon la jurisprudence, les murs avaient en 2006 une durée de vie de 10 ans et les vitrages de 30 ans. Pour le gros œuvre, comme la maçonnerie, il convient de compter une durée de 40 à 100 ans (arrêt du Tribunal fédéral 4C.261/2006 du 1er novembre 2006 consid. 3.2.11). LACHAT cite notamment le cas de papiers peints crayonnés par les enfants, ce qui constitue un usage anormal et qui donne lieu au versement au bailleur d'une indemnité tenant compte du degré de vétusté des papiers peints (LACHAT, op. cit., p. 809; cf. également l'arrêt du Tribunal fédéral 4A_557/2012 du 7 janvier 2013 concernant des griffures sur un parquet).</w:t>
      </w:r>
    </w:p>
    <w:p>
      <w:r>
        <w:t>- 6/9 -</w:t>
      </w:r>
    </w:p>
    <w:p>
      <w:r>
        <w:t>C/3979/2013</w:t>
      </w:r>
    </w:p>
    <w:p>
      <w:r>
        <w:rPr>
          <w:b/>
        </w:rPr>
        <w:t>E. 2.2</w:t>
      </w:r>
    </w:p>
    <w:p>
      <w:r>
        <w:t>La recourante fait valoir en premier lieu que l'intimée n'a pas prouvé son dom- mage, dans la mesure où le montant qu'elle a été condamnée à payer comprend, selon la facture de l'entreprise E.______ Sàrl (pièce 6 intimée), tant le rhabillage au plâtre que le lissage sur deux parois; or, cette dernière rubrique est inclue dans les travaux de peinture ordinaire. A cet égard le Tribunal a retenu, conformément à la facture présentée par l'entre- prise de peinture, que le lissage était une opération liée au rhabillage au plâtre des murs. La recourante n'explique nullement en quoi cette appréciation des faits serait manifestement inexacte au sens de l'art. 320 CPC. La solution retenue par le Tribunal sur ce point est au demeurant confirmée par le fait que les travaux de peinture mentionnés dans la même facture, qui n'ont pas été mis à charge de la recourante, ne comprenaient aucune opération de lissage. Le premier grief de la recourante est par conséquent infondé.</w:t>
      </w:r>
    </w:p>
    <w:p>
      <w:r>
        <w:rPr>
          <w:b/>
        </w:rPr>
        <w:t>E. 2.3</w:t>
      </w:r>
    </w:p>
    <w:p>
      <w:r>
        <w:t>La recourante reproche en second lieu au Tribunal de ne pas avoir pris en compte la durée de vie de la couche de plâtre se trouvant sous la couche de pein- ture sur les murs concernés. Cette couche ("enduit brut") avait une durée de vie de 25 ans de sorte que, compte tenu de la durée du bail (23 ans et demi), seul 1,5/23ème du coût de la réfection de cette couche de plâtre pouvait être demandé à la recourante, soit un montant de 64 fr. 40 (1'140 fr. /. 25 x 1,5). L'intimée fait quant à elle valoir que ses prétentions portent sur des dégâts causés à des éléments structurels du bâtiment (galandages) qui, de par leur nature, ne su- bissent aucune usure en raison de l'écoulement du temps. Le Tribunal a estimé qu'il n'y avait pas lieu de procéder à un amortissement sur l'indemnité due en relation avec la réfection des plâtres au motif que ce n'est que si la réparation est impossible ou si son coût est disproportionné que le locataire ne répond pas de la valeur à neuf de l'installation, mais de sa valeur actuelle compte tenu de la dépréciation de la chose due à l'écoulement du temps. En l'es- pèce, selon le Tribunal, un usage normal de la chose louée, même pendant des dé- cennies, ne pouvait pas conduire à un arrachage de la sous-couche plâtrée, raison pour laquelle il n'y avait pas lieu de tenir compte de la durée du bail (jugement, p. 6 et 7). La Cour constate cependant qu'une telle restriction ne résulte pas de la juris- prudence du Tribunal fédéral. En effet, seuls les frais de réfection dus à un usage anormal peuvent être mis à charge des locataires; par conséquent, le fait qu'un usage normal n'aurait pas été susceptible de provoquer un arrachage de la sous- couche plâtrée n'est pas une raison pour refuser la réduction de l'indemnité du fait de la dépréciation résultant de l'écoulement du temps.</w:t>
      </w:r>
    </w:p>
    <w:p>
      <w:r>
        <w:t>- 7/9 -</w:t>
      </w:r>
    </w:p>
    <w:p>
      <w:r>
        <w:t>C/3979/2013 Quant à l'allégation de l'intimée selon lequel les dégâts porteraient sur des "élé- ments structurels du bâtiment", comme des galandages, la Cour constate qu'elle ne trouve aucun point d'appui dans le dossier; la facture mentionne un rhabillage au plâtre et non le changement d'un "élément structurel", à supposer, ce qui n'est pas établi, qu'un galandage puisse être considéré comme un "élément structurel du bâ- timent". Quoi qu'il en soit, il résulte de la doctrine et de la jurisprudence précitées que le principe de l'amortissement pour tenir compte de la vétusté vaut pour toutes les installations de l'objet loué; des éléments tels que murs et gros œuvre subissent également une usure due au temps. Il faut par conséquent considérer que le cas d'espèce, concernant des griffures faites sur un mur par un chien, est comparable, dans son principe, à ceux, précités, de la tapisserie crayonnée par les enfants ou du parquet affecté de griffures, pour lesquels il convient de procéder à une réduction de l'indemnité. L'intimée doit ainsi être indemnisée de manière à être replacée dans la situation qui serait la sienne, après 23,5 ans de bail, si la sous-couche plâtrée n'avait pas été arrachée de manière contraire à un usage normal. Il convient par conséquent de déterminer quelle est la durée de vie de la sous- couche plâtrée endommagée en l'espèce. Celle-ci ne saurait être fixée à 25 ans, soit la durée de vie d'un "enduit brut" comme le propose la locataire en se référant au chiffre 5 des "travaux de menuiserie, plâtrerie et tapisserie" relatifs aux murs de la Table de longévité des installations commune aux associations de bailleurs et de locataires. En effet, l'enduit en question a trait au revêtement de surface du mur, alors que les griffures ont endommagé le plâtre même du mur. Une durée de 40 ans, soit la durée de vie minimum à prendre en compte pour la maçonnerie, selon la jurisprudence du Tribunal fédéral, paraît adéquate en l'espèce. Dans la mesure où l'appartement a été rénové juste avant le début du bail, et que celui-ci a duré environ 23,5 ans (de juillet 1988 à janvier 2012), l'indemnité due par la locataire doit être réduite de 58,75% (23,5 x 100 : 40). Le montant dû par la recourante est ainsi de 610 fr. soit 41,25% de 1'478 fr. 80. Le jugement entrepris sera par conséquent annulé et la recourante condamnée à payer ce dernier montant. Les intérêts de retards courront dès le 15 mars 2012, date arrêtée par le Tribunal, qui n'a pas été contestée.</w:t>
      </w:r>
    </w:p>
    <w:p>
      <w:r>
        <w:rPr>
          <w:b/>
        </w:rPr>
        <w:t>E. 2.4</w:t>
      </w:r>
    </w:p>
    <w:p>
      <w:r>
        <w:t>La recourante fait encore valoir qu'aucun montant n'est exigible de sa part au motif qu'elle s'est acquittée de 5'000 fr. pour des travaux de peinture lors de son entrée dans les lieux.</w:t>
      </w:r>
    </w:p>
    <w:p>
      <w:r>
        <w:t>- 8/9 -</w:t>
      </w:r>
    </w:p>
    <w:p>
      <w:r>
        <w:t>C/3979/2013 La participation éventuelle du locataire à des travaux de réfection en début de bail ne constitue cependant pas un élément pertinent dont il doit être tenu compte dans l'application de l'art. 267 al. 1 CO. Au demeurant, comme le Tribunal l'a souligné à juste titre, une telle participation n'est pas inhabituelle dans les sociétés coopé- ratives dont il est notoire qu'elles offrent à leurs sociétaires de loyers particu- lièrement attractifs, de sorte que l'effort du locataire au moment de l'entrée dans le logement a probablement été compensé par des conditions financières intéres- santes par la suite.</w:t>
      </w:r>
    </w:p>
    <w:p>
      <w:r>
        <w:rPr>
          <w:b/>
        </w:rPr>
        <w:t>E. 3</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(ATF139 III 182). * * * * *</w:t>
      </w:r>
    </w:p>
    <w:p>
      <w:r>
        <w:t>- 9/9 -</w:t>
      </w:r>
    </w:p>
    <w:p>
      <w:r>
        <w:t>C/3979/2013 PAR CES MOTIFS, La Chambre des baux et loyers : A la forme : Déclare recevable le recours interjeté le 13 mars 2014 par A.______ contre le jugement JTBL/134/2014 rendu le 4 février 2014 par le Tribunal des baux et loyers dans la cause C/3979/2013-3 OSD. Au fond : Annule le chiffre 1 du dispositif de ce jugement. Cela fait et statuant à nouveau : Condamne A.______ à verser à la B.______ la somme de 610 fr. avec intérêt à 5% l'an dès le 15 mars 2012. Dit que la procédure est gratuite. Déboute les parties de toutes autres conclusions. Siégeant : Madame Nathalie LANDRY-BARTHE, présidente; Monsieur Laurent RIEBEN et Madame Fabienne GEISINGER-MARIÉTHOZ, juges; Monsieur Pierre DAUDIN et Monsieur Alain MAUNOIR,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arts.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