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ACJC/1109/2013 vom 13. September 2013</w:t>
      </w:r>
    </w:p>
    <w:p>
      <w:r>
        <w:t>GE Cour de justice, 2013-09-13, FR</w:t>
      </w:r>
    </w:p>
    <w:p>
      <w:r>
        <w:rPr>
          <w:b/>
        </w:rPr>
        <w:t xml:space="preserve">Quelle: </w:t>
      </w:r>
      <w:r>
        <w:t>https://mcp.opencaselaw.ch/entscheid/ge_gerichte_ACJC_1109_2013</w:t>
      </w:r>
    </w:p>
    <w:p>
      <w:r>
        <w:t>FR: GE_GERICHTE ACJC/1109/2013 du 13 septembre 2013</w:t>
      </w:r>
    </w:p>
    <w:p>
      <w:r>
        <w:t>IT: GE_GERICHTE ACJC/1109/2013 del 13 settembre 2013</w:t>
      </w:r>
    </w:p>
    <w:p>
      <w:pPr>
        <w:pStyle w:val="Heading2"/>
      </w:pPr>
      <w:r>
        <w:t>Erwägungen</w:t>
      </w:r>
    </w:p>
    <w:p>
      <w:r>
        <w:rPr>
          <w:b/>
        </w:rPr>
        <w:t>E. 1.1</w:t>
      </w:r>
    </w:p>
    <w:p>
      <w:r>
        <w:t>Selon l'art. 250 let. c ch. 6 CPC, la procédure sommaire est applicable lorsque le nombre des membres est insuffisant ou que des organes requis font défaut (art. 731b, 819 et 908 CO). L'appel est recevable contre les décisions finales et les décisions incidentes de première instance (al. 1 let. a); dans les affaires patrimoniales, l'appel est rece- vable si la valeur litigieuse au dernier état des conclusions est de 10'000 fr. au moins (al. 2). Selon la jurisprudence du Tribunal fédéral, une contestation relative à la dissolu- tion d'une société est de nature pécuniaire, laquelle se détermine au regard du capital nominal de la société (arrêt du Tribunal fédéral du 22 juin 2010 4A_106/2010 du 22 juin 2010 consid. 6 non publié aux ATF 136 II 369). En l'espèce, le capital-actions nominal de l'appelante s'élève à 50'000 fr., de sorte que la valeur litigieuse est supérieure à 10'000 fr.</w:t>
      </w:r>
    </w:p>
    <w:p>
      <w:r>
        <w:rPr>
          <w:b/>
        </w:rPr>
        <w:t>E. 1.2</w:t>
      </w:r>
    </w:p>
    <w:p>
      <w:r>
        <w:t>Aux termes de l'art. 311 al. 1 CPC, l'appel, écrit et motivé, est introduit auprès de l'instance d'appel dans les 30 jours à compter de la notification de la décision motivée ou de la notification postérieure de la motivation. Si la décision a été ren- due en procédure sommaire, le délai pour l'introduction de l'appel est de dix jours (art. 314 al. 1 CPC). A Genève, la Chambre civile de la Cour de justice est l'instance compétente pour connaître d'un appel (art. 120 al. 1 let. a LOJ).</w:t>
      </w:r>
    </w:p>
    <w:p>
      <w:r>
        <w:rPr>
          <w:b/>
        </w:rPr>
        <w:t>E. 1.3</w:t>
      </w:r>
    </w:p>
    <w:p>
      <w:r>
        <w:t>L'appel ayant été interjeté dans le délai et la forme prévus par la loi, il est par conséquent recevable.</w:t>
      </w:r>
    </w:p>
    <w:p>
      <w:r>
        <w:rPr>
          <w:b/>
        </w:rPr>
        <w:t>E. 2</w:t>
      </w:r>
    </w:p>
    <w:p>
      <w:r>
        <w:t>Dans le cadre d'un appel, la Cour dispose d'un plein pouvoir de cognition (art. 310 CPC). Par ailleurs, l'appel étant instruit en procédure sommaire, la maxime des débats s'applique et la preuve des faits allégués doit être apportée par titre (art. 55 al. 1 et 254 CPC).</w:t>
      </w:r>
    </w:p>
    <w:p>
      <w:r>
        <w:rPr>
          <w:b/>
        </w:rPr>
        <w:t>E. 3.1</w:t>
      </w:r>
    </w:p>
    <w:p>
      <w:r>
        <w:t>A teneur de l'art. 731b CO, en relation avec l'art. 941a al. 1 CO, lorsque la so- ciété ne possède pas tous les organes prescrits ou qu'un de ces organes n'est pas</w:t>
      </w:r>
    </w:p>
    <w:p>
      <w:r>
        <w:t>- 4/6 -</w:t>
      </w:r>
    </w:p>
    <w:p>
      <w:r>
        <w:t>C/7012/2013 composé conformément aux prescriptions, un actionnaire, un créancier ou le pré- 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Le juge dispose ainsi d'une liberté d'action suffisante, qui lui permet de prendre la mesure adéquate en fonction des circonstances concrètes. Il n'est pas lié par les conclusions des parties et peut ordonner une autre mesure que celle requise. La procédure est soumise à la maxime d'office (art. 58 al. 2 CPC); les parties ne peuvent pas disposer librement de l'objet du litige (ATF 138 III 294 consid. 3.1.3; arrêt du Tribunal fédéral 4A_4/2013 du 13 mai 2013 du consid.3.1). Dans le cadre de l'art. 731b CO, le juge dispose d'une liberté d'action semblable à celle qui est la sienne en cas de dissolution de la société pour justes motifs (art. 736 ch. 4 CO). Le juge doit prendre en considération les circonstances con- crètes et particulières du cas d'espèce pour choisir la (ou les) mesures(s) la(les) plus appropriée(s) (PETER/CAVADINI, Commentaire Romand, Code des obliga- tions II, n. 8 ad art. 731b CO), notamment dans quelle mesure la marche des affaires est gravement mise en danger et s'il ne convient pas d'abord de consentir un délai suffisant pour rétablir la situation légale (WATTER/WIESER, Basler Kommentar, OR II, 2008 n. 25 ad art. 731b CO, p. 1358). La liberté du juge n'est toutefois pas illimitée, en ce sens qu'il doit respecter le principe de proportionnalité. La dissolution prévue au chiffre 3 de l'art. 731b al. 1 CO constitue l'ultima ratio; elle ne peut être prononcée que si les mesures moins sévères énoncées aux deux chiffres précédents - octroi d'un délai ou nomi- nation de l'organe par le juge - ne suffisent pas, ou sont restées sans succès (ATF 138 III 407 consid. 2.4; 138 III 294 consid. 3.1.4). Tel est en particulier le cas lorsque des décisions ne peuvent être notifiées ou que la société ne se fait entendre d'aucune façon (ATF 138 III 407 consid. 2.4; 138 III 294 consid. 3.1.4; BÜRGE/GUT, Richterliche Behebung von Organisationsmängeln der AG und der GmbH, RSJ 2009 p. 160). Si l'organe de révision fait défaut et que la société ne rétablit pas la situation dans le délai fixé, le juge doit en principe opter pour la mesure plus clémente consistant à désigner l'organe manquant, plutôt que d'ordonner la dissolution. Tel est du reste ce que prévoyait l'ancien droit, qui n'offrait pas la possibilité de dissoudre la société (art. 727f aCO). Le juge peut im- poser à la société de faire l'avance des frais du réviseur dans un certain délai, sous peine de dissolution (cf. art. 731b al. 2 CO; ATF 138 III 294 consid. 3.3.1; arrêt du Tribunal fédéral 4A_4/2013 du 13 mai 2013 du consid.3.1).</w:t>
      </w:r>
    </w:p>
    <w:p>
      <w:r>
        <w:t>- 5/6 -</w:t>
      </w:r>
    </w:p>
    <w:p>
      <w:r>
        <w:t>C/7012/2013 Selon l'art. 718 al. 4 CO, la société doit pouvoir être représentée par une personne domiciliée en Suisse. Un membre du conseil d'administration ou un directeur doit satisfaire à cette exigence.</w:t>
      </w:r>
    </w:p>
    <w:p>
      <w:r>
        <w:rPr>
          <w:b/>
        </w:rPr>
        <w:t>E. 3.2</w:t>
      </w:r>
    </w:p>
    <w:p>
      <w:r>
        <w:t>En l'occurrence, l'appelante, qui ne disposait plus d'un administrateur ou d'un directeur domicilié en Suisse, a nommé un nouvel administrateur au mois de juin 2013, lequel est domicilié à Genève. Elle a également requis l'inscription de cet administrateur au REGISTRE DU COMMERCE. Celui-ci a confirmé être en pos- session de l'ensemble des documents permettant de rétablir la situation légale de l'appelante. Compte tenu de ces éléments nouveaux, il se justifie d'annuler le jugement rendu par le Tribunal de première instance. L'appel se révèle dès lors fondé.</w:t>
      </w:r>
    </w:p>
    <w:p>
      <w:r>
        <w:rPr>
          <w:b/>
        </w:rPr>
        <w:t>E. 4</w:t>
      </w:r>
    </w:p>
    <w:p>
      <w:r>
        <w:t>L'annulation du jugement entrepris étant motivée par des nova, il se justifie de laisser les frais de première instance, de 800 fr., et de seconde instance, arrêtés à 400 fr., à la charge de l'appelante, compensés avec les avances de frais opérées par celle-ci, acquises à l'Etat par compensation (art. 111 CPC). L'intimé ayant comparu en personne, il ne lui sera pas alloué de dépens. * * * * *</w:t>
      </w:r>
    </w:p>
    <w:p>
      <w:r>
        <w:t>- 6/6 -</w:t>
      </w:r>
    </w:p>
    <w:p>
      <w:r>
        <w:t>C/7012/2013 PAR CES MOTIFS, La Chambre civile : A la forme : Déclare recevable l'appel interjeté par A______ SA contre le jugement JTPI/7037/2013 rendu le 23 mai 2013 par le Tribunal de première instance dans la cause C/7012/2013-8- SFC. Au fond : Annule ce jugement. Arrête les frais judiciaires de première et seconde instance à 1'200 fr., compensés avec les avances de frais fournies par A______ SA, acquises à l'Etat. Les met à la charge de A______ SA. Dit qu'il n'est pas alloué de dépens. Déboute les parties de toutes autres conclusions. Siégeant : Madame Nathalie LANDRY-BARTHE, présidente; Madame Daniela CHIABUDINI et Monsieur Cédric-Laurent MICHEL, juges; Madame Véronique BULUNDWE, greffière.</w:t>
      </w:r>
    </w:p>
    <w:p>
      <w:r>
        <w:t>La présidente : Nathalie LANDRY-BARTHE</w:t>
      </w:r>
    </w:p>
    <w:p>
      <w:r>
        <w:t>La greffière : Madame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