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ACJC/1109/2012 vom 8. August 2012</w:t>
      </w:r>
    </w:p>
    <w:p>
      <w:r>
        <w:t>GE Cour de justice, 2012-08-08, FR</w:t>
      </w:r>
    </w:p>
    <w:p>
      <w:r>
        <w:rPr>
          <w:b/>
        </w:rPr>
        <w:t xml:space="preserve">Quelle: </w:t>
      </w:r>
      <w:r>
        <w:t>https://mcp.opencaselaw.ch/entscheid/ge_gerichte_ACJC_1109_2012</w:t>
      </w:r>
    </w:p>
    <w:p>
      <w:r>
        <w:t>FR: GE_GERICHTE ACJC/1109/2012 du 8 août 2012</w:t>
      </w:r>
    </w:p>
    <w:p>
      <w:r>
        <w:t>IT: GE_GERICHTE ACJC/1109/2012 del 8 agosto 2012</w:t>
      </w:r>
    </w:p>
    <w:p>
      <w:pPr>
        <w:pStyle w:val="Heading2"/>
      </w:pPr>
      <w:r>
        <w:t>Regeste</w:t>
      </w:r>
    </w:p>
    <w:p>
      <w:r>
        <w:t>Résumé: Action possesoire - Conditions à l'octroi d'une mesures provisionnelle au sens de l'art. 261 CPC.</w:t>
      </w:r>
    </w:p>
    <w:p>
      <w:pPr>
        <w:pStyle w:val="Heading2"/>
      </w:pPr>
      <w:r>
        <w:t>Erwägungen</w:t>
      </w:r>
    </w:p>
    <w:p>
      <w:r>
        <w:rPr>
          <w:b/>
        </w:rPr>
        <w:t>E. 1</w:t>
      </w:r>
    </w:p>
    <w:p>
      <w:r>
        <w:t>Selon l'art. 308 al. 1 let. b et al. 2 CPC, l'appel est recevable contre les décisions de première instance sur les mesures provisionnelles, si la valeur litigieuse est d'au moins 10'000 fr. En matière d'action en cessation de trouble, la valeur litigieuse se détermine selon l'intérêt du demandeur à l'admission de ses conclusions (arrêt du Tribunal fédéral</w:t>
      </w:r>
    </w:p>
    <w:p>
      <w:r>
        <w:t>- 6/12 -</w:t>
      </w:r>
    </w:p>
    <w:p>
      <w:r>
        <w:t>C/25100/2011 n.p. 5A_791/2008 du 10.06.2009), voire, s'il est plus élevé, selon l'intérêt du défendeur au rejet des conclusions de la demande (arrêt du Tribunal fédéral n.p. 5C.249/1994 du 05.01.1996, consid. 1b). L'appelante s'est contentée, dans son acte, d'indiquer que la voie de l'appel est ouverte, dès lors qu'il s'agit d'une mesure provisionnelle. Elle n'a pas fixé la valeur litigieuse de ses prétentions. Il ressort toutefois de son écriture que l'intérêt de l'appelante à l'admission de ses conclusions consiste dans sa volonté de louer la villa pour un montant de 10'000 fr. par mois, location dont elle se dit frustrée. En première instance, l'appelante avait indiqué que la présence de l'intimé sur la parcelle lui causerait un préjudice de 120'000 fr. sur une année, de sorte que la valeur litigieuse est supérieure à 10'000 fr. La voie de l'appel est ainsi ouverte.</w:t>
      </w:r>
    </w:p>
    <w:p>
      <w:r>
        <w:rPr>
          <w:b/>
        </w:rPr>
        <w:t>E. 2.1</w:t>
      </w:r>
    </w:p>
    <w:p>
      <w:r>
        <w:t>Selon l'art. 311 CPC, le délai d'appel est en principe de 30 jours. Il est toutefois réduit à 10 jours dans les causes qui relèvent de la procédure sommaire (art. 314 CPC). Les mesures provisionnelles ayant été instruites en procédure sommaire (art. 248 let. d CPC) le délai d'appel est ainsi de 10 jours. Si le dernier jour est un samedi ou un dimanche, le délai expire le premier ouvrable qui suit (art. 142 al. 3 CPC). L'ordonnance querellée ayant été reçue par l'appelante le 9 février 2012, son appel, expédié le 20 février 2012, l'a été en temps utile. Déposé dans le délai et suivant la forme prescrite par la loi (art. 130, 131, 311 al. 1 CPC), l'appel est ainsi recevable.</w:t>
      </w:r>
    </w:p>
    <w:p>
      <w:r>
        <w:rPr>
          <w:b/>
        </w:rPr>
        <w:t>E. 2.2</w:t>
      </w:r>
    </w:p>
    <w:p>
      <w:r>
        <w:t>S'agissant d'un appel (art. 308 al. 1 let. b CPC), la Cour revoit la cause avec un plein pouvoir d'examen (art. 310 CPC; HOHL, Procédure civile, tome II, 2010, n. 2314 et 2416; RETORNAZ, L'appel et le recours, in Procédure civile suisse, 2010, p. 349 ss, n. 121). Dans la mesure des conclusions prises en appel (art. 315 al. 1 CPC), la Cour établit les faits d'office.</w:t>
      </w:r>
    </w:p>
    <w:p>
      <w:r>
        <w:rPr>
          <w:b/>
        </w:rPr>
        <w:t>E. 3</w:t>
      </w:r>
    </w:p>
    <w:p>
      <w:r>
        <w:t>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w:t>
      </w:r>
    </w:p>
    <w:p>
      <w:r>
        <w:rPr>
          <w:b/>
        </w:rPr>
        <w:t>E. 4</w:t>
      </w:r>
    </w:p>
    <w:p>
      <w:r>
        <w:t>A teneur de l'art. 317 al. 1 CPC, les faits et moyens de preuves nouveaux ne sont pris en compte qu'à la condition qu'ils soient invoqués ou produits sans retard et</w:t>
      </w:r>
    </w:p>
    <w:p>
      <w:r>
        <w:t>- 7/12 -</w:t>
      </w:r>
    </w:p>
    <w:p>
      <w:r>
        <w:t>C/25100/2011 qu'ils n'aient pu être invoqués ou produits devant la première instance, bien que la partie qui s'en prévaut ait fait preuve de la diligence requise. En l'occurrence, la pièce nouvelle produite par l'intimé a été établie postérieurement à l'ordonnance querellée, de sorte qu'elle est recevable.</w:t>
      </w:r>
    </w:p>
    <w:p>
      <w:r>
        <w:rPr>
          <w:b/>
        </w:rPr>
        <w:t>E. 5.1</w:t>
      </w:r>
    </w:p>
    <w:p>
      <w:r>
        <w:t>Se référant à HOHL (Procédure civile, tome II, Berne, 2010, n. 1703 s.), le Tribunal fédéral a admis que plusieurs voies de droit sont ouvertes au possesseur dépossédé ou troublé dans sa possession, dont celle d'invoquer la protection de sa possession par une action possessoire, laquelle peut être précédée ou accompagnée d'une requête de mesures provisionnelles (arrêt du Tribunal fédéral 5A_859/2010 du 3 mars 2011 consid. 4.2) Selon l'art. 261 al. 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Il s'agit-là de conditions cumulatives comme cela ressort des textes allemand et italien de la loi (BOHNET, op. cit., n. 3 ad art. 261 CPC). Le Tribunal peut ordonner toute mesure provisionnelle propre à prévenir ou à faire cesser le préjudice, notamment la cessation d'un état de fait illicite (art. 262 let. b CPC). Les conditions de la mesure provisionnelle n'ont pas à être prouvées de manière absolue; le requérant doit les rendre vraisemblables ou plausibles. Il n'est pas nécessaire que le juge soit persuadé de l'existence des faits; il suffit que, sur la base d'éléments objectifs, il acquière l'impression d'une certaine vraisemblance de l'existence des faits pertinents, sans pour autant qu'il doive exclure la possibilité que les faits aient pu se dérouler autrement (ATF 130 III 321 = JdT 2005 I 618 cité par HOHL, op. cit., n. 1773 p. 325).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BOHNET, op. cit., p. 220). Rendre vraisemblable la prétention signifie que le requérant doit rendre vraisemblable, d'une part, les faits à l'appui de celle-ci et d'autre part, que la prétention fonde vraisemblablement un droit. Le requérant doit ainsi rendre vraisemblable que le droit matériel invoqué existe et que le procès a des chances</w:t>
      </w:r>
    </w:p>
    <w:p>
      <w:r>
        <w:t>- 8/12 -</w:t>
      </w:r>
    </w:p>
    <w:p>
      <w:r>
        <w:t>C/25100/2011 de succès (arrêt du Tribunal fédéral 5P.422/2005 consid. 3.2 = SJ 2006 I 371; BOHNET, Code de procédure civile commenté, Bâle, 2011, n. 7 ad art. 261 CPC et réf. citées). En effet, la mesure provisionnelle ne peut être accordée que dans la perspective de l'action au fond qui doit la valider (art. 263 CPC et 268 al. 2 CPC). Le juge doit évaluer les chances de succès de la demande au fond et admettre ou refuser la mesure selon que l'existence du droit allégué apparaît plus vraisemblable que son inexistence (HOHL op. cit. n. 1774 p. 325 et réf. citées). En outre, la vraisemblance requise doit porter sur un préjudice difficilement réparable, qui peut être patrimonial ou immatériel (BOHNET, op. cit., n. 11 ad art. 261 CPC; KOFMEL EHRENZELLER, KuKo-ZPO, 2010, n. 8 ad art. 261 CPC; HUBER, Kommentar zur schweizerischen Zivilprozessordnung, 2010, n. 20 ad art. 261 CPC).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w:t>
      </w:r>
    </w:p>
    <w:p>
      <w:r>
        <w:rPr>
          <w:b/>
        </w:rPr>
        <w:t>E. 5.2</w:t>
      </w:r>
    </w:p>
    <w:p>
      <w:r>
        <w:t>Aux termes de l'art. 927 CC, quiconque usurpe une chose en la possession d'autrui est tenu de la rendre, même s'il y prétend un droit préférable (al. 1); cette restitution n'aura pas lieu si le défendeur établit aussitôt un droit préférable qui l'autoriserait à reprendre la chose au demandeur (al. 2); l'action tend à la restitution de la chose et à la réparation du dommage (al. 3). Les actions possessoires - la réintégrande de l'art. 927 CC et l'action en cessation de trouble de l'art. 928 CC - ne visent en principe qu'au rétablissement et au maintien d'un état de fait antérieur. Sous réserve de l'art. 927 al. 2 CC, qui prévoit l'exception tirée du meilleur droit, elles ne conduisent pas à un jugement sur la conformité au droit de cet état de fait, mais n'assurent au demandeur qu'une protection provisoire, car le possessoire ne préjuge pas le pétitoire : sans doute, le jugement sur l'action possessoire statue définitivement sur le rétablissement de l'état antérieur, mais une procédure engagée sur le terrain du droit peut mettre fin aux effets d'une décision portant sur la protection de la possession (ATF 113 II 243; ATF 135 III 633 consid. 4.1; HOHL, op. cit., n. 1689 ss). Dans la procédure judiciaire des actions concernant la protection de la possession, il faut en principe séparer la question de la possession au sens d'une maîtrise effective de la chose (art. 919 al. 1 CC), de la question du droit sur la chose, en</w:t>
      </w:r>
    </w:p>
    <w:p>
      <w:r>
        <w:t>- 9/12 -</w:t>
      </w:r>
    </w:p>
    <w:p>
      <w:r>
        <w:t>C/25100/2011 particulier du droit de porter atteinte à la possession (ATF 135 III 633 = JdT 2010 I 312 consid. 3.1). Les actions possessoires visent au rétablissement et au maintien de l'état de fait antérieur. Elles n'assurent au demandeur qu'une protection provisoire, seule une procédure engagée sur le plan du droit (action pétitoire) pouvant mettre fin aux effets de la décision portant sur la protection de la possession (arrêts du Tribunal fédéral 5A-859/2010 du 31 mars 2011 consid. 2 et 5A_98/2010 du 7 mai 2010 consid. 4.1.2). Le possesseur est déchu de son action, s'il ne réclame pas la restitution de la chose ou la cessation du trouble aussitôt après avoir connu le fait et l'auteur de l'atteinte portée à son droit (art. 929 al. 1 CC). Son action se prescrit par un an; ce délai court dès le jour de l'usurpation ou du trouble, même si le possesseur n'a connu que plus tard l'atteinte subie et l'auteur de celle-ci (art. 929 al. 2 CC). Il appartient au juge d'apprécier librement dans quelle mesure le délai que mentionne l'art. 929 al. 1 CC, sans le fixer, est admissible. Cette appréciation doit tenir compte de tous les éléments du cas particulier (SJ 1980 p. 92). Il a ainsi été jugé qu'un délai de cinq mois après la connaissance des faits était trop long pour introduire une action possessoire (SJ 1978 p. 106), alors qu'un délai de sept semaines a été considéré comme non tardif (ACJC/861/2004 du 8 juillet 2004 consid. 5.1; SJ 1980 p. 92) Constitue une usurpation de la possession l'acte par lequel une personne enlève au possesseur la maîtrise effective de la chose (STEINAUER, Les droits réels, Tome I, Berne, 2007, n. 321). L'acte d'usurpation est illicite chaque fois qu'il n'est pas autorisé par la loi ou par le possesseur; en cas de possession multiple, elle est illicite si elle n'est pas autorisée par tous les possesseurs (STEINAUER, op. cit., n. 326 et 328b). La qualité pour agir en réintégrande appartient à celui qui a perdu la possession du fait de l'acte d'usurpation et l'action ne peut être intentée que contre l'auteur de la dépossession qui a encore la maîtrise de la chose (STEINAUER, op. cit., n. 340 et 341).</w:t>
      </w:r>
    </w:p>
    <w:p>
      <w:r>
        <w:rPr>
          <w:b/>
        </w:rPr>
        <w:t>E. 5.3</w:t>
      </w:r>
    </w:p>
    <w:p>
      <w:r>
        <w:t>Chaque copropriétaire a qualité pour faire les actes d'administration courante, tels que réparations d'entretien, travaux de culture et de récolte, garde et surveillance de courte durée, de même que pour conclure des contrats à cet effet et exercer les attributions découlant de ces contrats, de baux à loyer et à ferme ou de contrats d'entreprises, y compris le pouvoir de payer et d'encaisser des sommes d'argent pour l'ensemble des copropriétaires (art. 647a al. 1 CC). Une décision prise à la majorité de tous les copropriétaires, représentant en outre, leurs parts réunies, plus de la moitié de la chose, est nécessaire pour les actes</w:t>
      </w:r>
    </w:p>
    <w:p>
      <w:r>
        <w:t>- 10/12 -</w:t>
      </w:r>
    </w:p>
    <w:p>
      <w:r>
        <w:t>C/25100/2011 d'administration plus importants, notamment les changements de culture ou d'utilisation, la conclusion ou la résiliation de baux à loyer et à ferme, la participation à des améliorations du sol et la désignation d'un administrateur dont les attributions ne seront pas limitées aux actes d'administration courante (art. 647b al. 1 CC). Le Tribunal fédéral n'a pas encore rendu de décision s'agissant de la notion de courte durée, prévue à l'art. 647a al. 1 CC.</w:t>
      </w:r>
    </w:p>
    <w:p>
      <w:r>
        <w:rPr>
          <w:b/>
        </w:rPr>
        <w:t>E. 5.4</w:t>
      </w:r>
    </w:p>
    <w:p>
      <w:r>
        <w:t>En l'occurrence, l'appelante soutient que les conditions d'octroi des mesures provisionnelles sont réunies, et que le premier juge devait en conséquence faire droit à sa demande. Les parties ne contestent à juste titre pas le fait que l'appelante soit copropriétaire de la parcelle, avec C_______, et qu'elle n'ait pas accepté la conclusion d'un contrat de prêt par celui-ci en faveur de l'intimé, de sorte qu'elle dispose de la qualité pour agir en réintégrande. Toutefois, il convient d'examiner si l'intimé a un droit préférable à celui de l'appelante, du fait de l'existence du contrat de prêt. Comme rappelé ci-avant, chaque copropriétaire a le droit de procéder seul à des actes d'administration courante. Contrairement à ce qu'allègue l'appelante, la pose d'une boîte aux lettres, d'une chaîne et d'un cadenas sur le portail ne constituent pas des mesures durables d'occupation, mais des actes courants, lesquels ne nécessitent pas l'accord de l'ensemble des copropriétaires. Par ailleurs, ces travaux n'ont pas été entrepris par l'intimé, mais par C_______. La conclusion d'un contrat de prêt ne fait pas partie de la liste exemplative des actes d'administration plus importants, au sens de l'art. 647b al. 1 CC. Il semble, a priori, que la conclusion d'un tel contrat d'une durée d'une année, lequel peut pour le surplus être dénoncé moyennant un préavis de trente jours, rentre dans la catégorie des actes courants. Cette question peut toutefois demeurer indécise. En effet, l'appelante n'a pas rendu vraisemblable le préjudice difficilement réparable qu'elle allègue, en particulier sa volonté de louer la maison. L'appelante n'a en effet versé à la procédure qu'un courrier d'une régie de la place genevoise datant de novembre 2009, mentionnant un prix de location. L'appelante n'a pas produit de titre récent, mettant en évidence qu'elle aurait l'intention actuellement de procéder à la mise en location de la villa. Par ailleurs, il apparaît vraisemblable que la propriété ne peut pas être louée, compte tenu de son état vétuste. La Cour retient également que l'appelante et C_______ avaient sollicité et obtenu l'autorisation de démolir la villa, élément rendant vraisemblable le mauvais état général de ce bien immobilier.</w:t>
      </w:r>
    </w:p>
    <w:p>
      <w:r>
        <w:t>- 11/12 -</w:t>
      </w:r>
    </w:p>
    <w:p>
      <w:r>
        <w:t>C/25100/2011 Comme l'a retenu à bon droit le Tribunal de première instance, la condition de l'urgence fait pour le surplus défaut. La maison était en effet inoccupée depuis plusieurs années, avant que l'intimé s'installe sur la parcelle, et l'appelante n'a, comme susmentionné, pas rendu vraisemblable que la villa serait sur le point d'être louée ou vendue. Les conditions d'octroi de mesures provisionnelles ne sont par conséquent pas réunies. L'ordonnance querellée ne prête ainsi pas flanc à la critique, de sorte que l'appelante sera déboutée de ses conclusions et l'ordonnance sera confirmée.</w:t>
      </w:r>
    </w:p>
    <w:p>
      <w:r>
        <w:rPr>
          <w:b/>
        </w:rPr>
        <w:t>E. 6</w:t>
      </w:r>
    </w:p>
    <w:p>
      <w:r>
        <w:t>L'appelante, qui succombe dans son appel, sera condamnée aux frais de celui-ci, les frais judiciaires étant arrêtés à 2'000 fr. montant partiellement couvert par l'avance de 1'200 fr. effectuée par l'appelante (art. 26 et 37 RTFMC). Celle-ci sera en conséquence condamnée à verser à l'Etat le solde de 800 fr. Cette avance est ainsi acquise à l'Etat par compensation (art. 111 al. 1 CPC). Par ailleurs, l'appelante sera également condamnée à payer les dépens de l'intimé qui seront fixés à 2'000 fr., débours et TVA inclus, sur la base d'une valeur litigieuse de 120'000 fr. (art. 20 et 21 LaCC; 85, 88 et 90 RTFMC).</w:t>
      </w:r>
    </w:p>
    <w:p>
      <w:r>
        <w:rPr>
          <w:b/>
        </w:rPr>
        <w:t>E. 7</w:t>
      </w:r>
    </w:p>
    <w:p>
      <w:r>
        <w:t>L'action possessoire est une mesure provisionnelle au sens de l'art. 98 LTF (CORBOZ, Commentaire de la LTF, Berne 2009, n. 11 ad art. 98 LTF; DONZALLAZ, Loi sur le Tribunal fédéral, Berne 2008, n. 4005 et 4006 ad art. 98 LTF), de sorte que seule peut être invoquée la violation de droits constitutionnels. A priori, la valeur litigieuse est supérieure au seuil de 30'000 fr. (art. 74 al. 1 let. b LTF), ce qui ouvre la voie du recours en matière civile au Tribunal fédéral (art. 72 al. 1 LTF). * * * * *</w:t>
      </w:r>
    </w:p>
    <w:p>
      <w:r>
        <w:t>- 12/12 -</w:t>
      </w:r>
    </w:p>
    <w:p>
      <w:r>
        <w:t>C/25100/2011 PAR CES MOTIFS, La Chambre civile : A la forme : Déclare recevable l'appel interjeté par A_______ contre le jugement OTPI/116/2012 rendue le 7 février 2012 par le Tribunal de première instance dans la cause C/25100/2011-11 SP. Au fond : Confirme l'ordonnance. Arrête les frais judiciaires d'appel à 2'000 fr. et les met à charge de A_______, partiellement compensés avec l'avance de frais fournie, acquise à l'Etat. Condamne en conséquence A_______ à verser 800 fr. à l'Etat. Condamne A_______ à verser 2'000 fr. à B_______ à titre de dépens d'appel. Déboute les parties de toutes autres conclusions. Siégeant : Monsieur Pierre CURTIN, président; Madame Nathalie LANDRY-BARTHE ET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