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ACJC/1106/2013 vom 13. September 2013</w:t>
      </w:r>
    </w:p>
    <w:p>
      <w:r>
        <w:t>GE Cour de justice, 2013-09-13, FR</w:t>
      </w:r>
    </w:p>
    <w:p>
      <w:r>
        <w:rPr>
          <w:b/>
        </w:rPr>
        <w:t xml:space="preserve">Quelle: </w:t>
      </w:r>
      <w:r>
        <w:t>https://mcp.opencaselaw.ch/entscheid/ge_gerichte_ACJC_1106_2013</w:t>
      </w:r>
    </w:p>
    <w:p>
      <w:r>
        <w:t>FR: GE_GERICHTE ACJC/1106/2013 du 13 septembre 2013</w:t>
      </w:r>
    </w:p>
    <w:p>
      <w:r>
        <w:t>IT: GE_GERICHTE ACJC/1106/2013 del 13 settembre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des personnes qui y ont intérêt, il est recevable.</w:t>
      </w:r>
    </w:p>
    <w:p>
      <w:r>
        <w:rPr>
          <w:b/>
        </w:rPr>
        <w:t>E. 2.1</w:t>
      </w:r>
    </w:p>
    <w:p>
      <w:r>
        <w:t>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w:t>
      </w:r>
    </w:p>
    <w:p>
      <w:r>
        <w:rPr>
          <w:b/>
        </w:rPr>
        <w:t>E. 2.2</w:t>
      </w:r>
    </w:p>
    <w:p>
      <w:r>
        <w:t>Les maximes des débats et de disposition s'appliquent et la preuve des faits allégués doit être apportée par titre (art. 55 al. 1, 58 al. 1, 255 let. a a contrario et 254 CPC).</w:t>
      </w:r>
    </w:p>
    <w:p>
      <w:r>
        <w:rPr>
          <w:b/>
        </w:rPr>
        <w:t>E. 2.3</w:t>
      </w:r>
    </w:p>
    <w:p>
      <w:r>
        <w:t>Les conclusions, les allégations de faits et les preuves nouvelles sont irrecevables (art. 326 al. 1 CPC). Partant, la pièce nouvelle produite par l'intimé est irrecevable.</w:t>
      </w:r>
    </w:p>
    <w:p>
      <w:r>
        <w:rPr>
          <w:b/>
        </w:rPr>
        <w:t>E. 3.1</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w:t>
      </w:r>
    </w:p>
    <w:p>
      <w:r>
        <w:t>- 5/9 -</w:t>
      </w:r>
    </w:p>
    <w:p>
      <w:r>
        <w:t>C/27245/2012 n. 73 s. ad art. 82 LP; arrêt du Tribunal fédéral 5P.174/2005 du 7 octobre 2005, consid. 2.1). Dans cette mesure, la Cour applique librement le droit.</w:t>
      </w:r>
    </w:p>
    <w:p>
      <w:r>
        <w:rPr>
          <w:b/>
        </w:rPr>
        <w:t>E. 3.2</w:t>
      </w:r>
    </w:p>
    <w:p>
      <w:r>
        <w:t>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La reconnaissance de dette peut découler du rapprochement de plusieurs pièces, pour autant que les éléments nécessaires en résultent (ATF 122 II 126 consid. 2; ATF 130 III 87 = SJ 2004 I 209 consid. 3.1; arrêt du Tribunal fédéral 5P 290/2006 du 12 octobre 2006 consid. 3.1.2).</w:t>
      </w:r>
    </w:p>
    <w:p>
      <w:r>
        <w:rPr>
          <w:b/>
        </w:rPr>
        <w:t>E. 3.3</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w:t>
      </w:r>
    </w:p>
    <w:p>
      <w:r>
        <w:rPr>
          <w:b/>
        </w:rPr>
        <w:t>E. 3.4</w:t>
      </w:r>
    </w:p>
    <w:p>
      <w:r>
        <w:t>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représentant peut manifester au tiers (expressément ou tacitement) sa volonté d'agir au nom d'autrui jusqu'au moment de la conclusion du contrat. Le tiers doit donc savoir ou être à même de savoir que le représentant agit non pas pour lui- 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La personne du représenté est évidemment clairement énoncée si le représentant indique au nom de quelle personne il intervient. Mais la personne du</w:t>
      </w:r>
    </w:p>
    <w:p>
      <w:r>
        <w:t>- 6/9 -</w:t>
      </w:r>
    </w:p>
    <w:p>
      <w:r>
        <w:t>C/27245/2012 représenté peut être expressément désignée d'une autre manière, par exemple en tant que propriétaire d'une affaire déterminée (SJ 1996 p. 554 ss consid. 5c). La preuve de l'existence d'un rapport de représentation incombe à celui qui se prévaut des effets de cette dernière. Faute d'une déclaration expresse ou de circonstances particulières, le cocontractant est réputé agir en son propre nom et pour son propre compte (SJ 1984 p. 241 consid. 2).</w:t>
      </w:r>
    </w:p>
    <w:p>
      <w:r>
        <w:rPr>
          <w:b/>
        </w:rPr>
        <w:t>E. 3.5</w:t>
      </w:r>
    </w:p>
    <w:p>
      <w:r>
        <w:t>En l'espèce, les notes d'honoraires de l'intimé n'ont pas été contestées par écrit par la recourante et il semblerait qu'elles aient fait l'objet d'un accord de paiement. Cela étant, il ne ressort pas des pièces produites que l'intimée a reconnu la dette faisant l'objet de la poursuite. Le courriel du 10 novembre 2011, qui fait suite au rappel de la recourante du 27 octobre 2011, ne contient ainsi pas la signature de l'intimée ou de son représentant. L'engagement de payer qui y figure est d'autre part conditionnel puisqu'il est précisé : "je suis prêt à les payer [les factures] dès que l'affaire C______ sera réglée ce qui n'est pas le cas à ce jour". La Cour retient en conséquence que le rapprochement des pièces produites à l'appui de la requête en mainlevée d'opposition ne vaut pas reconnaissance de dette, contrairement à ce que le premier juge a admis. La recourante allègue par ailleurs qu'elle n'aurait pas la légitimation passive dès lors qu'elle aurait agi pour le compte de clients, et que les créances de l'intimé à son encontre seraient prescrites. Il n'est pas nécessaire d'examiner ces griefs, ni la vraisemblance de ces moyens libératoires, le recours étant admis et l'intimé débouté de sa requête en mainlevée provisoire d'opposition.</w:t>
      </w:r>
    </w:p>
    <w:p>
      <w:r>
        <w:rPr>
          <w:b/>
        </w:rPr>
        <w:t>E. 4</w:t>
      </w:r>
    </w:p>
    <w:p>
      <w:r>
        <w:t>L'intimé, qui succombe, sera condamné aux frais de première instance et de recours (art. 106 al. 1 et 3 CPC). En vertu de l'art. 61 al. 1 OELP, la juridiction supérieure à laquelle sont déférées les décisions rendues dans une procédure sommaire en matière de poursuite (art. 251 CPC) peut prélever un émolument n'excédant une fois et demie l'émolument que peut prélever l'autorité de première instance. Le premier juge a fixé l'émolument de première instance à 400 fr. Partant, l'émolument de la présente décision sera arrêté à 600 fr. et mis à la charge de l'intimé. Il est compensé par l'avance de frais opérée par la recourante, qui reste acquise à l'Etat (art. 111 CPC). L'intimé sera condamné à verser 600 fr. à la recourante.</w:t>
      </w:r>
    </w:p>
    <w:p>
      <w:r>
        <w:t>- 7/9 -</w:t>
      </w:r>
    </w:p>
    <w:p>
      <w:r>
        <w:t>C/27245/2012 L'intimé gardera à sa charge les frais de première instance (400 fr.) dont il a fait l'avance. Les parties n'étant pas représentées par un avocat, il n'y a pas lieu de fixer de dépens.</w:t>
      </w:r>
    </w:p>
    <w:p>
      <w:r>
        <w:rPr>
          <w:b/>
        </w:rPr>
        <w:t>E. 5</w:t>
      </w:r>
    </w:p>
    <w:p>
      <w:r>
        <w:t>La valeur litigieuse, au sens de l'art. 51 LTF, est inférieure à 30'000 fr. * * * * *</w:t>
      </w:r>
    </w:p>
    <w:p>
      <w:r>
        <w:t>- 8/9 -</w:t>
      </w:r>
    </w:p>
    <w:p>
      <w:r>
        <w:t>C/27245/2012 PAR CES MOTIFS, La Chambre civile : A la forme : Déclare recevable le recours interjeté par A______ SA contre le jugement JTPI/8042/2013 rendu le 11 juin 2013 par le Tribunal de première instance dans la cause C/27245/2012-10. Au fond : Admet le recours et annule le jugement entrepris. Déboute B______ des fins de sa requête en mainlevée d'opposition au commandement de payer, poursuite no 1______. Déboute les parties de toutes autres conclusions. Sur les frais : Arrête les frais de première instance à 400 fr., les mets à la charge de B______ et dit qu'ils sont compensée avec l'avance effectuée. Arrête les frais judiciaires du recours à 600 fr., les mets à la charge de B______ et dit qu'ils sont compensés par l'avance de frais fournie par A______ SA, qui reste acquise à l'Etat. Condamne en conséquence B______ à verser à A______ SA 600 fr. Siégeant : Madame Marguerite JACOT-DES-COMBES, présidente; Monsieur Jean-Marc STRUBIN et Madame Sylvie DROIN, juges; Madame Véronique BULUNDWE, greffière.</w:t>
      </w:r>
    </w:p>
    <w:p>
      <w:r>
        <w:t>La présidente : Marguerite JACOT-DES-COMBES</w:t>
      </w:r>
    </w:p>
    <w:p>
      <w:r>
        <w:t>La greffière : Véronique BULUNDWE</w:t>
      </w:r>
    </w:p>
    <w:p>
      <w:r>
        <w:t>- 9/9 -</w:t>
      </w:r>
    </w:p>
    <w:p>
      <w:r>
        <w:t>C/27245/2012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