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ACJC/1101/2012 vom 3. April 2012</w:t>
      </w:r>
    </w:p>
    <w:p>
      <w:r>
        <w:t>GE Cour de justice, 2012-04-03, FR</w:t>
      </w:r>
    </w:p>
    <w:p>
      <w:r>
        <w:rPr>
          <w:b/>
        </w:rPr>
        <w:t xml:space="preserve">Quelle: </w:t>
      </w:r>
      <w:r>
        <w:t>https://mcp.opencaselaw.ch/entscheid/ge_gerichte_ACJC_1101_2012</w:t>
      </w:r>
    </w:p>
    <w:p>
      <w:r>
        <w:t>FR: GE_GERICHTE ACJC/1101/2012 du 3 avril 2012</w:t>
      </w:r>
    </w:p>
    <w:p>
      <w:r>
        <w:t>IT: GE_GERICHTE ACJC/1101/2012 del 3 aprile 2012</w:t>
      </w:r>
    </w:p>
    <w:p>
      <w:pPr>
        <w:pStyle w:val="Heading2"/>
      </w:pPr>
      <w:r>
        <w:t>Regeste</w:t>
      </w:r>
    </w:p>
    <w:p>
      <w:r>
        <w:t>Résumé: 1. Un contrat écrit stipulant une peine conventionnelle (art. 160 CO) peut constituer, si la preuve de l'inexécution de la prestation promise est rapportée par titre, une reconnaissance de dette. 2. Le juge prononcera la mainlevée provisoire, à moins que le montant de la peine n'apparaisse comme évidemment et grossièrement disproportionné ou exagéré par rapport au dommage. 3. En présence d'une clause pénale manifestement exagérée, le juge de la mainlevée doit se borner à refuser la mainlevée. Il ne peut, en effet, ni accorder la mainlevée pour une somme qui est encore incertaine, ni trancher la question de la réduction qui concerne le juge de fond.</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ce qui concerne les conclusions, les exigences pour des parties comparant en personne sont peu élevées; il suffit que la requête contienne une formulation permettant de déduire comment l'autorité de recours devrait trancher. Une motivation exprimant de manière rudimentaire pour quel(s) motif(s) la décision querellée est erronée selon le recourant suffit (OGer ZH PF110034 du 22 août 2011 consid. 3.2.; voir ég. FREIBURGHAUS/AFHELDT, in SUTTER- SOMM/HASENBÖHLER/LEUENBERGER, ZPO Komm., 2010, n. 15 ad art. 321 ZPO).</w:t>
      </w:r>
    </w:p>
    <w:p>
      <w:r>
        <w:t>A Genève, la Chambre civile de la Cour de justice est l'instance compétente pour connaître d'un recours (art. 120 al. 1 let. a LOJ).</w:t>
      </w:r>
    </w:p>
    <w:p>
      <w:r>
        <w:rPr>
          <w:b/>
        </w:rPr>
        <w:t>E. 1.2</w:t>
      </w:r>
    </w:p>
    <w:p>
      <w:r>
        <w:t>Déposé dans la forme et le délai prescrit, le recours est recevable à la forme.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Par ailleurs, le recours étant instruit en procédure sommaire (art. 251 let. a CPC), la maxime des débats s'applique et la preuve des faits allégués doit être apportée par titre (art. 55 al. 1 et 254 CPC). En outre, la maxime de disposition s'applique (art. 58 al. 1 CPC). Les conclusions, les allégations de faits et les preuves nouvelles sont irrecevables (art. 326 al. 1 CPC). Partant, pour examiner si la loi a été violée, la Cour doit se placer dans la situation où se trouvait le premier juge lorsque celui-ci a rendu la décision attaquée.</w:t>
      </w:r>
    </w:p>
    <w:p>
      <w:r>
        <w:rPr>
          <w:b/>
        </w:rPr>
        <w:t>E. 2.2</w:t>
      </w:r>
    </w:p>
    <w:p>
      <w:r>
        <w:t>Les pièces 2 et 3 produites par l'intimé n'ont pas été soumises au premier juge, de sorte qu'elles seront écartées des débats, ainsi que les allégués de fait s'y rapportant.</w:t>
      </w:r>
    </w:p>
    <w:p>
      <w:r>
        <w:t>- 6/11 -</w:t>
      </w:r>
    </w:p>
    <w:p>
      <w:r>
        <w:t>C/25594/2011</w:t>
      </w:r>
    </w:p>
    <w:p>
      <w:r>
        <w:rPr>
          <w:b/>
        </w:rPr>
        <w:t>E. 3</w:t>
      </w:r>
    </w:p>
    <w:p>
      <w:r>
        <w:t>La violation de l'interdiction de l'arbitraire peut consister en un état de faits incomplet, car l'autorité précédente viole le droit matériel en n'établissant pas tous les faits pertinents pour l'application de celui-ci (ATF 134 V 53 consid. 4.3). En matière d'appréciation des preuves et d'établissement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arrêts du Tribunal fédéral 4A_449/2010 consid. 4.1 = Pra 2011 p. 445, 4A_194/2009 consid. 5.1.3 = RSPC 2009 p. 368 et 5P.341/2006 consid. 3.2 = RSPC 2007 p. 182) et que la décision s'en trouve viciée dans son résultat (ATF 124 IV 86 consid.2a; arrêt du Tribunal fédéral 5P.341/2006 consid. 3.2 = RSPC 2007 p. 182).</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 s. ad art. 82 LP). Dans cette mesure, la Cour applique librement le droit (arrêt du Tribunal fédéral du 7 octobre 2005 np 5P.174/2005).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si le débiteur ne rend pas immédiatement vraisemblables ses moyens libératoires (ATF 132 III 140 consid. 4.1.1 p. 142). En outre, le poursuivant doit alléguer et prouver sa créance et son exigibilité au jour du dépôt de sa réquisition de poursuite, ainsi que son droit d'exercer la</w:t>
      </w:r>
    </w:p>
    <w:p>
      <w:r>
        <w:t>- 7/11 -</w:t>
      </w:r>
    </w:p>
    <w:p>
      <w:r>
        <w:t>C/25594/2011 poursuite, autrement dit le poursuivant doit prouver les faits qu'il allègue pour en déduire son droit (GILLIERON, op. cit., n. 95 ad art 82 LP).</w:t>
      </w:r>
    </w:p>
    <w:p>
      <w:r>
        <w:rPr>
          <w:b/>
        </w:rPr>
        <w:t>E. 4.2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12.10.2006 consid. 3.1.2; PANCHAUD/CAPREZ, La mainlevée d'opposition, 2ème édition, 1980, p. 2). Un contrat écrit stipulant une peine conventionnelle (art. 160 CO) peut constituer, si la preuve de l'inexécution de la prestation promise est rapportée par titre, une reconnaissance de dette (GILLIERON, op. cit., n. 56 ad art. 82 LP; PANCHAUD/ CAPREZ, op. cit., § 85 p. 209; STAEHELIN, Kommentar zum Bundesgesetz über Schuldbetreibung und Konkurs, 1998, n. 110 ad art. 82 LP). Le juge prononcera la mainlevée provisoire, à moins que le montant de la peine n'apparaisse comme évidemment et grossièrement disproportionné ou exagéré par rapport au dommage (JdT 1978 II 93, JdT 1946 II 16). En présence d'une clause pénale manifestement exagérée, le juge de la mainlevée doit se borner à refuser la mainlevée. Il ne peut, en effet, ni accorder la mainlevée pour une somme qui est encore incertaine, ni trancher la question de la réduction qui concerne le juge de fond (JdT 1965 II 63; PANCHAUD/CAPREZ, op. cit., § 85). Le rôle du juge de la mainlevée ne consiste pas à interpréter des contrats ou d'autres documents, mais d'accorder rapidement, après un examen sommaire des faits et du droit, une protection provisoire au requérant dont la situation paraît claire (JdT 1969 II 32). L'art. 163 al. 3 CO impose au juge de réduire la clause pénale excessive. Le motif principal d'une telle intervention réside dans le fait que les limites légales à la liberté contractuelle prévues aux art. 19 et 20 CO concernent la situation existante lors de la conclusion du contrat, alors que l'on ne peut juger valablement du bien- fondé de la peine conventionnelle qu'après la violation du contrat (JdT 1989 I 74). Une intervention du juge dans le contrat ne se justifie cependant que si le montant fixé est si élevé qu'il dépasse toute mesure raisonnable compatible avec le droit et l'équité (MOOSER, Commentaire romand, CO I, 2003, n. 8 ad art. 163 CO).</w:t>
      </w:r>
    </w:p>
    <w:p>
      <w:r>
        <w:t>- 8/11 -</w:t>
      </w:r>
    </w:p>
    <w:p>
      <w:r>
        <w:t>C/25594/2011 Pour juger du caractère excessif de la peine conventionnelle, il ne faut pas raisonner abstraitement, mais, au contraire, prendre en considération toutes les circonstances concrètes de l'espèce (ATF 133 III 201 consid. 5.2). Il y 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(ATF 133 III 43 consid. 3.3.2 et 4.2). Le juge pourra, par ailleurs, tenir compte de l'étendue du dommage (ATF 103 II 129; MOOSER, op. cit., n. 8 ad art. 163 CO).</w:t>
      </w:r>
    </w:p>
    <w:p>
      <w:r>
        <w:rPr>
          <w:b/>
        </w:rPr>
        <w:t>E. 4.3</w:t>
      </w:r>
    </w:p>
    <w:p>
      <w:r>
        <w:t>En l'espèce, la recourante a sollicité le prononcé de la mainlevée provisoire de l'opposition formée au commandement de payer notifié à l'intimé, en se fondant sur la convention de reprise d'activité conclue le 28 décembre 2010. Ce contrat a été dûment signé par l'intimé notamment. Il prévoit entre autre que l'intimé a cédé aux repreneurs, dont la recourante, le fonds de commerce et le rachat du stock, éléments estimés respectivement à 250'000 fr. et 400'000 fr (art. 1.6, 2.1. et 2.2. de la convention). Par ailleurs, l'intimé s'est engagé à cesser toute activité dès la signature du contrat et s'est interdit d'effectuer toute activité concurrente à celle effectuée par les repreneurs, dans le secteur d'activité comprenant tout le territoire du Canton de Genève, pendant une durée minimale de 3 ans. Les parties sont ainsi convenues que la violation de la clause de prohibition de concurrence entraînait "le droit pour les cessionnaires de réclamer le paiement d'une peine conventionnelle équivalant au montant de la cession du fonds de commerce", un dommage supplémentaire ayant pour le surplus été réservé (art. 4.3 de la convention).</w:t>
      </w:r>
    </w:p>
    <w:p>
      <w:r>
        <w:t>Se fondant sur ce contrat, le premier juge a retenu que le titre produit ne mentionnait pas le montant de la créance de façon claire. Ce faisant, il s'est trompé sur le sens et la portée de la convention liant les parties, dès lors que la peine conventionnelle a été fixée au montant correspondant à la cession du fonds de commerce, soit à tout le moins 250'000 fr. Comme il n'appartient pas au juge de la mainlevée d'interpréter un contrat, le montant exact du fonds de commerce peut rester indécis.</w:t>
      </w:r>
    </w:p>
    <w:p>
      <w:r>
        <w:t>Le montant de la peine n'apparaît pas être disproportionné; sur ce point, la Cour relève que l'intimé s'est borné à contester devoir une quelconque somme à la recourante, mais n'a pas allégué que la clause pénale aurait été excessive.</w:t>
      </w:r>
    </w:p>
    <w:p>
      <w:r>
        <w:t>Par ailleurs, il ressort des titres produits par la recourante que l'intimé a violé à réitérées reprises son engagement de non-concurrence, puisque la Cour de justice a, suite au dépôt de deux requêtes de mesures provisionnelles, constaté, prima</w:t>
      </w:r>
    </w:p>
    <w:p>
      <w:r>
        <w:t>- 9/11 -</w:t>
      </w:r>
    </w:p>
    <w:p>
      <w:r>
        <w:t>C/25594/2011 facie, que l'intimé s'est livré à des actes de concurrence déloyale. La recourante a dès lors rendu vraisemblable que l'intimé a poursuivi une activité concurrente. Il importe peu à cet égard que la demande au fond soit toujours pendante, puisque le degré de preuve requis en procédure sommaire se limite à la vraisemblance.</w:t>
      </w:r>
    </w:p>
    <w:p>
      <w:r>
        <w:t>Il découle de ce qui précède que les parties ont prévu non seulement le principe d'une peine conventionnelle à payer par l'intimé à la recourante, mais également son montant. Cet accord, signé par l'intimé, vaut ainsi reconnaissance de dette, au sens de la jurisprudence et de la doctrine sus rappelées.</w:t>
      </w:r>
    </w:p>
    <w:p>
      <w:r>
        <w:t>Le recours sera par conséquent admis et la mainlevée provisoire de l'opposition faite au commandement de payer sera prononcée, à concurrence de 250'000 fr., plus intérêts à 5% dès le 28 décembre 2010.</w:t>
      </w:r>
    </w:p>
    <w:p>
      <w:r>
        <w:rPr>
          <w:b/>
        </w:rPr>
        <w:t>E. 5</w:t>
      </w:r>
    </w:p>
    <w:p>
      <w:r>
        <w:t>L'intimé, qui succombe, sera condamné aux frais de première instance et d'appel (art. 95 al. 1 CPC et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de première instance ayant été fixés à 750 fr., l'émolument de décision d'appel sera fixé à 1'125 fr. Les frais des deux instances seront mis à la charge de l'intimé, compensés avec les avances de frais opérées par la recourante (art. 111 CPC). L'intimée sera condamnée à payer ces sommes à la recourante. L'intimée sera également condamnée aux dépens de l'intimée assistée d'un conseil devant la Cour et devant le Tribunal de première instance, arrêtés à 4'000 fr., débours et TVA compris pour les deux instances (art. 96 et 105 al. 2 CPC; art. 85 et 89, 90 du règlement fixant le tarif des greffes en matières civile du 22 décembre 2010, E 1 05.10).</w:t>
      </w:r>
    </w:p>
    <w:p>
      <w:r>
        <w:rPr>
          <w:b/>
        </w:rPr>
        <w:t>E. 6</w:t>
      </w:r>
    </w:p>
    <w:p>
      <w:r>
        <w:t>La valeur litigieuse, au sens de l'art. 51 LTF, est supérieure à 30'000 fr. * * * * *</w:t>
      </w:r>
    </w:p>
    <w:p>
      <w:r>
        <w:t>- 10/11 -</w:t>
      </w:r>
    </w:p>
    <w:p>
      <w:r>
        <w:t>C/25594/2011 PAR CES MOTIFS, La Chambre civile : A la forme : Déclare recevable le recours interjeté par A______ Sàrl contre le jugement JTPI/5246/2012 rendu le 3 avril 2012 par le Tribunal de première instance dans la cause C/25594/2011-18 SML. Déclare irrecevables les pièces 2 et 3 produites par B_______, ainsi que les allégués de fait s'y rapportant. Au fond : Annule ce jugement. Statuant à nouveau : Prononce la mainlevée provisoire de l'opposition formée au commandement de payer, poursuite no 11 _______ S. Arrête les frais judiciaires de première instance et d'appel à 1'875 fr., et les met à charge de B_______, compensés avec les avances de frais fournies, acquises à l'Etat. Condamne B_______ à payer en conséquence 1'875 fr. à A______ Sàrl. Condamne B_______ à verser 4'000 fr. à A______ Sàrl à titre de dépens de première instance et d'appel. Déboute les parties de toutes autres conclusions. Siégeant : Monsieur Pierre CURTIN, président; Madame Nathalie LANDRY-BARTHE et Madame Daniela CHIABUDINI, juges; Madame Céline FERREIRA, greffière.</w:t>
      </w:r>
    </w:p>
    <w:p>
      <w:r>
        <w:t>Le président : Pierre CURTIN</w:t>
      </w:r>
    </w:p>
    <w:p>
      <w:r>
        <w:t>La greffière : Céline FERREIRA</w:t>
      </w:r>
    </w:p>
    <w:p>
      <w:r>
        <w:t>- 11/11 -</w:t>
      </w:r>
    </w:p>
    <w:p>
      <w:r>
        <w:t>C/25594/2011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