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ACJC/10/2023 vom 12. Januar 2023</w:t>
      </w:r>
    </w:p>
    <w:p>
      <w:r>
        <w:t>GE Cour de justice, 2023-01-12, FR</w:t>
      </w:r>
    </w:p>
    <w:p>
      <w:r>
        <w:rPr>
          <w:b/>
        </w:rPr>
        <w:t xml:space="preserve">Quelle: </w:t>
      </w:r>
      <w:r>
        <w:t>https://mcp.opencaselaw.ch/entscheid/ge_gerichte_ACJC_10_2023</w:t>
      </w:r>
    </w:p>
    <w:p>
      <w:r>
        <w:t>FR: GE_GERICHTE ACJC/10/2023 du 12 janvier 2023</w:t>
      </w:r>
    </w:p>
    <w:p>
      <w:r>
        <w:t>IT: GE_GERICHTE ACJC/10/2023 del 12 gennaio 2023</w:t>
      </w:r>
    </w:p>
    <w:p>
      <w:pPr>
        <w:pStyle w:val="Heading2"/>
      </w:pPr>
      <w:r>
        <w:t>Volltext</w:t>
      </w:r>
    </w:p>
    <w:p>
      <w:r>
        <w:t>Le présent arrêt est communiqué aux parties, par plis recommandés du 12 janvier 2023.</w:t>
      </w:r>
    </w:p>
    <w:p>
      <w:r>
        <w:t>REPUBLIQUE ET</w:t>
      </w:r>
    </w:p>
    <w:p>
      <w:r>
        <w:t>CANTON DE GENEVE POUVOIR JUDICIAIRE C/8238/2022 ACJC/10/2023 ARRÊT DE LA COUR DE JUSTICE Chambre civile DU LUNDI 3 JANVIER 2023</w:t>
      </w:r>
    </w:p>
    <w:p>
      <w:r>
        <w:t>Entre Madame A______, domiciliée ______ [GE], appelante d'une ordonnance sur mesures provisionnelles rendue par le Tribunal de première instance de ce canton le 18 juillet 2022, comparant par Me Daniel MEYER, avocat, rue Ferdinand-Hodler 7, 1207 Genève, en l'Étude duquel elle fait élection de domicile, et Monsieur B______, domicilié ______ [VD], intimé, comparant par Me Raffaella MEAKIN, avocate, ATHENA Avocats, boulevard des Tranchées 16, 1206 Genève, en l'Étude de laquelle il fait élection de domicile.</w:t>
      </w:r>
    </w:p>
    <w:p>
      <w:r>
        <w:t>- 2/3 -</w:t>
      </w:r>
    </w:p>
    <w:p>
      <w:r>
        <w:t>C/8238/2022 Vu, EN FAIT, l'appel formé par A______ contre l'ordonnance de mesures provisionnelles OTPI/487/2022 prononcée le 18 juillet 2022 par le Tribunal de première instance; Attendu que par courrier déposé le 9 décembre 2022, les parties ont informé la Cour être en négociations amiables et ont sollicité la suspension de la procédure; Considérant, EN DROIT, que selon l'art. 126 CPC, le tribunal peut ordonner la suspension de la procédure si des motifs d'opportunité le commandent; Que tel est le cas en l'espèce, de sorte que la suspension de la procédure sera ordonnée; Que la procédure sera reprise à la demande de la partie la plus diligente; Que les frais de la présente décision seront renvoyés à la décision finale (art. 104 CPC). * * * * *</w:t>
      </w:r>
    </w:p>
    <w:p>
      <w:r>
        <w:t>- 3/3 -</w:t>
      </w:r>
    </w:p>
    <w:p>
      <w:r>
        <w:t>C/8238/2022</w:t>
      </w:r>
    </w:p>
    <w:p>
      <w:r>
        <w:t>PAR CES MOTIFS, La Chambre civile : Ordonne la suspension de la procédure C/8238/2022. Dit qu'elle sera reprise à la requête de la partie la plus diligente. Dit qu'il sera statué sur les frais avec la décision finale. Siégeant : Madame Ursula ZEHETBAUER GHAVAMI, présidente; Madame Sylvie DROIN et Monsieur Jean REYMOND, juges; Madame Sandra CARRIER, greffière.</w:t>
      </w:r>
    </w:p>
    <w:p>
      <w:r>
        <w:t>La Présidente : Ursula ZEHETBAUER GHAVAMI</w:t>
      </w:r>
    </w:p>
    <w:p>
      <w:r>
        <w:t>La greffière : Sandra CARRIER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