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ACJC/109/2024 vom 31. Januar 2024</w:t>
      </w:r>
    </w:p>
    <w:p>
      <w:r>
        <w:t>GE Cour de justice, 2024-01-31, FR</w:t>
      </w:r>
    </w:p>
    <w:p>
      <w:r>
        <w:rPr>
          <w:b/>
        </w:rPr>
        <w:t xml:space="preserve">Quelle: </w:t>
      </w:r>
      <w:r>
        <w:t>https://mcp.opencaselaw.ch/entscheid/ge_gerichte_ACJC_109_2024</w:t>
      </w:r>
    </w:p>
    <w:p>
      <w:r>
        <w:t>FR: GE_GERICHTE ACJC/109/2024 du 31 janvier 2024</w:t>
      </w:r>
    </w:p>
    <w:p>
      <w:r>
        <w:t>IT: GE_GERICHTE ACJC/109/2024 del 31 gennaio 2024</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 délai et les formes prescrits par la loi (art. 130, 131, 142 al. 1, 145 al. 1 let. a et 311 al. 1 CPC) auprès de l'autorité compétente (art. 120 al. 1 let. a LOJ), l'appel est recevable.</w:t>
      </w:r>
    </w:p>
    <w:p>
      <w:r>
        <w:rPr>
          <w:b/>
        </w:rPr>
        <w:t>E. 1.3</w:t>
      </w:r>
    </w:p>
    <w:p>
      <w:r>
        <w:t>S'agissant d'un appel, 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1.4</w:t>
      </w:r>
    </w:p>
    <w:p>
      <w:r>
        <w:t>La maxime des débats et le principe de disposition (art. 55 al. 1 et art. 58 al. 1 CPC) sont applicable.</w:t>
      </w:r>
    </w:p>
    <w:p>
      <w:r>
        <w:rPr>
          <w:b/>
        </w:rPr>
        <w:t>E. 2</w:t>
      </w:r>
    </w:p>
    <w:p>
      <w:r>
        <w:t>Les appelants reprochent au Tribunal d'avoir violé les art. 160 à 163 CO en ne portant pas en déduction de la somme totale de 222'920 fr. 60 qu'ils ont été condamnés à verser à titre de dommages-intérêts pour acte illicite le montant de la peine conventionnelle de 195'000 fr. 2.1.1 La responsabilité délictuelle (art. 41 ss CO) sanctionne la violation d'un devoir général qui s'impose à tous les sujets de droit tandis que la responsabilité contractuelle (art. 97 CO) sanctionne la violation d'un devoir relatif, qui lie généralement une personne unique envers une autre personne précise (arrêt du Tribunal fédéral 4A_201/2016 du 1er mars 2017 consid. 5.2). 2.1.2. La responsabilité délictuelle instituée par l'art. 41 CO suppose que soient réalisées cumulativement les quatre conditions suivantes : un acte illicite, une faute de l'auteur, un dommage et un rapport de causalité - naturelle et adéquate -</w:t>
      </w:r>
    </w:p>
    <w:p>
      <w:r>
        <w:t>- 8/14 -</w:t>
      </w:r>
    </w:p>
    <w:p>
      <w:r>
        <w:t>C/27615/2019 entre l'acte fautif et le dommage (ATF 137 III 539 consid. 5.2; 132 III 122 consid. 4.1). 2.1.3 Selon l'art. 97 al. 1 CO, qui règle la responsabilité contractuelle, lorsque le créancier ne peut obtenir l'exécution de l'obligation ou ne peut l'obtenir qu'imparfaitement, le débiteur est tenu de réparer le dommage en résultant, à moins qu'il ne prouve qu'aucune faute ne lui est imputable. A teneur de l'art. 160 al. 1 CO, lorsqu'une peine a été stipulée en vue de l'inexécution ou de l'exécution imparfaite du contrat, le créancier ne peut, sauf convention contraire, demander que l'exécution ou la peine convenue. La clause pénale est utile à un double titre au créancier. D’une part, elle facilite la liquidation et la réparation de l’inexécution ou de l’exécution défectueuse, puisque le montant de la peine équivaut à des dommages-intérêts et que le créancier n’a pas à prouver son dommage et, d'autre part, elle est un moyen de pression sur le débiteur, qui sait «qu’un gourdin est prêt à le rappeler à l’ordre» et qu’il s’expose à devoir payer une somme parfois élevée s’il n’adopte pas un comportement déterminé (MOOSER, CR-CO I, 2021, n. 2 ad art. 160 CO). Les parties ont la liberté de définir le comportement que la peine conventionnelle est destinée à empêcher (MOOSER, op. cit., n. 4a ad art. 160 CO). La peine est encourue même si le créancier n’a éprouvé aucun dommage (art. 161 al. 1 CO). Le créancier dont le dommage dépasse le montant de la peine, ne peut réclamer une indemnité supérieure qu’en établissant une faute à la charge du débiteur (art. 161 al. 2 CO). Le débiteur d’un contrat prévoyant une clause pénale répond jusqu’au montant de la clause pénale indépendamment de toute faute de sa part. Au-delà de ce montant, sa responsabilité contractuelle est conditionnée à une faute de sa part (TRAN, Le régime uniforme de responsabilité du transporteur aérien de personnes, 2013, p. 148). La clause pénale prévue aux art. 160 à 163 CO est une convention accessoire par laquelle le débiteur promet au créancier une prestation (la peine conventionnelle) pour le cas où il n'exécuterait pas ou n'exécuterait qu'imparfaitement une prestation déterminée (MOOSER, op. cit., n. 6 ad intro. art. 158-163 CO). 2.1.4 Il n’est pas rare qu’un acte contrevienne simultanément à un devoir général de l'ordre juridique et à une obligation contractuelle, parce qu'il existe un contrat entre le responsable et la victime. Par exemple le médecin qui administre un traitement contraire aux règles de l’art commet une atteinte illicite à l’intégrité corporelle de son patient (art. 28 CC et 41 CO) en même temps qu’une violation de l’obligation de diligence résultant du contrat de soins (398 CO), le gérant de</w:t>
      </w:r>
    </w:p>
    <w:p>
      <w:r>
        <w:t>- 9/14 -</w:t>
      </w:r>
    </w:p>
    <w:p>
      <w:r>
        <w:t>C/27615/2019 fortune qui détourne les fonds qui lui sont confiés se rend coupable d’un abus de confiance, pénalement (138 CP) et civilement (41 CO) sanctionné, en même temps qu’il manque à l’obligation de loyauté qu’il doit à son mandant (398 CO) (THEVENOZ, CR-CO I, 2021, n. 13 ad intro art. 97-109 CO; WERRO, La responsabilité civile, 2017, n.1656 et 1666, p. 464 et 466). Dans ce cas, la responsabilité délictuelle et la responsabilité pour inexécution d'une obligation coexistent et la victime dispose d'un concours de responsabilité (arrêt du Tribunal fédéral 8C_77/2022 du 29 septembre 2022 consid. 3.3), soit la faculté de choisir entre l'action délictuelle et l'action contractuelle (THEVENOZ, op. cit. ; WERRO, op. cit.). Le lésé ne peut toutefois pas être indemnisé deux fois du même dommage (THEVENOZ, op. cit.). 2.1.5 En droit suisse des contrats, la question de savoir si les parties ont conclu un accord est soumise au principe de la priorité de la volonté subjective sur la volonté objective. Lorsque les parties se sont exprimées de manière concordante,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(ATF 144 III 93 consid. 5.2.1; 123 III 35 consid. 2b; arrêt du Tribunal fédéral 4A_643/2020 du 22 octobre 2021 consid. 4.1). En procédure, le juge doit donc rechercher, dans un premier temps, la réelle et commune intention des parties (interprétation subjective), le cas échéant empiriquement, sur la base d'indices (art. 18 al. 1 CO).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Cette interprétation subjective repose sur l'appréciation des preuves, le juge appréciant les indices concrets selon son expérience générale de la vie. Si elle s'avère concluante, le résultat qui en est tiré, c'est-à-dire la constatation d'une commune et réelle intention des parties, relève du domaine des faits (ATF 144 III 93 consid. 5.2.2 ; 142 III 239 consid. 5.2.1; arrêt du Tribunal fédéral 4A_417/2022 du 25 avril 2023 consid. 5.2).</w:t>
      </w:r>
    </w:p>
    <w:p>
      <w:r>
        <w:t>- 10/14 -</w:t>
      </w:r>
    </w:p>
    <w:p>
      <w:r>
        <w:t>C/27615/2019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4A_417/2022 du 25 avril 2023 consid. 5.2). 2.2.1 En l'espèce, en occupant sans droit l'appartement litigieux l'appelant a non seulement commis une violation de domicile, pénalement (art. 186 CP) et civilement (41 CO) sanctionnées, et un dommage à la propriété de l'intimée (art. 144 CP), pénalement sanctionné, violations qui ne sont plus contestées en appel. Il a également violé le contrat en tant qu'il prévoyait qu'il ne pourrait rentrer en possession du bien immobilier qu'après son inscription comme propriétaire au Registre foncier. Tant sa responsabilité contractuelle que sa responsabilité délictuelle sont donc engagées. Compte tenu de l'existence d'un concours de responsabilité, l'intimée était autorisée à exercer une action pour responsabilité délictuelle à l'encontre des appelants, étant relevé qu'il n'est pas contesté en appel que la responsabilité délictuelle de l'appelante est également engagée du fait des actes de son organe (art. 55 CC). Certes, les appelants ne peuvent pas être condamnés à indemniser l'intimée deux fois pour le même dommage. Il convient dès lors d'examiner quel était le dommage couvert par la peine conventionnelle et s'il se recoupe avec les dommages pour lesquels les appelants ont été condamnés à verser une indemnité dans le cadre de la présente procédure. 2.2.2 Le contrat de promesse d'achat et vente prévoit que la peine conventionnelle doit être versée dans l'hypothèse où le paiement de l'intégralité du prix de vente ne serait pas effectué dans le délai convenu, la promesse de vente et d'achat perdant en outre tous ses effets. Il découle du texte de cette clause que le comportement que la peine conventionnelle était destinée à empêcher consistait dans le fait que l'appelante ne s'acquitte pas du prix de vente dans le délai imparti. Lors de la conclusion du contrat, l'intimée a fait insérer une clause contractuelle selon laquelle l'appelante ne pourrait pas prendre possession du bien immobilier avant que la vente ne soit venue à chef et le transfert de propriété inscrit au Registre foncier. Par cette clause, l'intimée a voulu se prémunir du fait que l'appelant, à qui elle avait remis temporairement les clés, puisse prendre possession du bien avant d'en recevoir le prix d'achat. De son côté, l'appelant dit</w:t>
      </w:r>
    </w:p>
    <w:p>
      <w:r>
        <w:t>- 11/14 -</w:t>
      </w:r>
    </w:p>
    <w:p>
      <w:r>
        <w:t>C/27615/2019 avoir accepté cette clause et compris que celle-ci avait été ajoutée parce qu'il avait reçu les clés du logement et qu'il était connu pour effectuer des travaux dans les objets qu'il achetait. Les parties s'étaient donc comprises et voulaient que l'appelant ne puisse pas prendre possession des lieux, ni les transformer, avant l'inscription du transfert de propriété au Registre foncier. Par conséquent, le comportement que la peine conventionnelle était destinée à empêcher consistait uniquement dans le fait que l'appelante ne s'acquitte pas du prix de vente dans le délai imparti. L'intimée avait exclu la possibilité qu'elle puisse servir à autre chose qu'à la dédommager de la non conclusion du contrat, notamment à couvrir des frais résultant de dommages qu'aurait pu causer les appelants à sa propriété. Les appelants avaient également conscience que la peine conventionnelle devait servir à indemniser l'intimée de l'absence de vente, puisque l'appelant a expliqué vouloir à tout prix conclure la vente pour ne pas avoir à payer la peine conventionnelle. Les deux parties avait donc la volonté commune que la peine conventionnelle serve uniquement à couvrir le cas où la vente ne serait finalement pas conclue. Les sommes auxquelles le Tribunal a condamné les appelants ont pour but d'indemniser l'intimée des dommages subis en raison des actes illicites causés par les appelants, soit un autre type de dommage que celui en lien avec la peine conventionnelle. L'intimée n'a donc pas été indemnisée deux fois pour le même dommage. Toutefois, il n'y a pas lieu de condamner les appelants à verser à l'intimée une indemnité pour occupation illicite pour le mois de décembre 2017 dès lors que le logement, qui était demeuré libre en vue de sa vente, n'aurait de toute façon pas été loué durant cette période, étant rappelé que les appelants avaient jusqu'au 28 décembre 2017 pour finaliser la vente. Ainsi, la perte de revenu locatif entre la promesse de vente et d'achat et le moment où la vente aurait dû intervenir (le 28 décembre 2017), liée à la nécessité pour l'intimée de garder l'immeuble libre d'occupant en vue de sa vente, constitue un dommage résultant pour elle de la non conclusion du contrat de vente : il est en conséquence réputé couvert par la peine conventionnelle, et ne saurait être indemnisé deux fois. Par conséquent, les chiffres 8 à 10 du dispositif du jugement seront modifiés en ce sens que ce n'est pas une somme de 115'393 fr. 30 avec intérêts à 5% l'an dès le 15 juillet 2018 qui est due à l'intimée au titre d'indemnité pour occupation illicite et perte de loyer mais une somme de 108'167 fr. 50 (115'393 fr. 30 - 7'225 fr. 80, soit 8'000 fr. / 31 x 28 jours). Par souci de clarté, les chiffres 8 à 10 du dispositif du jugement seront annulés et il sera statué dans le sens de ce qui précède. Compte tenu de ce qui précède, le montant versé à titre de peine conventionnelle par les appelants n'a pas à être porté en déduction des dommages-intérêts auxquels les appelants ont été condamnés en raison de leurs actes illicites.</w:t>
      </w:r>
    </w:p>
    <w:p>
      <w:r>
        <w:t>- 12/14 -</w:t>
      </w:r>
    </w:p>
    <w:p>
      <w:r>
        <w:t>C/27615/2019 Le jugement querellé sera ainsi confirmé pour le surplus.</w:t>
      </w:r>
    </w:p>
    <w:p>
      <w:r>
        <w:rPr>
          <w:b/>
        </w:rPr>
        <w:t>E. 3</w:t>
      </w:r>
    </w:p>
    <w:p>
      <w:r>
        <w:t>Les frais judiciaires de la procédure d'appel seront fixés à 10'800 fr. (art. 13, 17 et 35 RTFMC), couverts par l'avance de frais du même montant opérée par les appelants, avance qui demeure entièrement acquise à l'Etat (art. 111 al. 1 CPC). Les appelants ayant succombé dans la presque totalité de leurs conclusions, ces frais judiciaires seront mis à leur charge (art. 106 al. 1 CPC). Ces derniers seront en outre solidairement condamnés à verser des dépens à C______ SARL, lesquels seront arrêtés à 6'000 fr., TVA et débours compris, au regard de l'activité déployée par le conseil de l'intimée (art. 95, 104 al. 1, 105 al. 1 et 106 al. 1 CPC; art. 20, 23 al. 1, 25 et 26 al. 1 LaCC; art. 25 al. 1 LTVA; art. 84, 85 al. 1 et 90 RTFMC). Il ne sera pas alloué de dépens à E______, qui s'est limitée à s'en rapporter à justice quant au sort de l'appel. * * * * *</w:t>
      </w:r>
    </w:p>
    <w:p>
      <w:r>
        <w:t>- 13/14 -</w:t>
      </w:r>
    </w:p>
    <w:p>
      <w:r>
        <w:t>C/27615/2019 PAR CES MOTIFS, La Chambre civile :</w:t>
      </w:r>
    </w:p>
    <w:p>
      <w:r>
        <w:t>A la forme : Déclare recevable l'appel interjeté le 16 mai 2023 par B______ SA et A______ contre le jugement JTPI/4111/2023 rendu le 4 avril 2023 par le Tribunal de première instance dans la cause C/27615/2019. Au fond : Annule les chiffres 8 à 10 du dispositif du jugement et cela fait, statuant à nouveau : Condamne B______ SA et A______, conjointement et solidairement, à payer à C______ SARL la somme de 108'167 fr. 50 avec intérêts à 5% l'an dès le 15 juillet 2018. Prononce la mainlevée définitive de l'opposition au commandement de payer, poursuite n° 1______, à concurrence des montants de 65'000 fr. avec intérêts à 5% l'an à compter du 15 mai 2020, 3'817 fr. 95 avec intérêts à 5% l'an dès le 8 octobre 2018, 1'227 fr. 80 avec intérêts à 5% l'an dès le 30 août 2018, 6'278 fr. 90 avec intérêts à 5% l'an dès le</w:t>
      </w:r>
    </w:p>
    <w:p>
      <w:r>
        <w:rPr>
          <w:b/>
        </w:rPr>
        <w:t>E. 8</w:t>
      </w:r>
    </w:p>
    <w:p>
      <w:r>
        <w:t>octobre 2018, 2'480 fr. 65 avec intérêts à 5% l'an dès le 22 novembre 2018, 722 fr. 15 avec intérêts à 5% l'an dès le 22 novembre 2018, 28'000 fr. avec intérêts à 5% l'an dès le 15 mai 2020 et 108'167 fr. 50 avec intérêts à 5% l'an dès le 15 juillet 2018. Confirme le jugement querellé pour le surplus. Déboute les parties de toutes autres conclusions. Sur les frais : Arrête les frais judiciaires d'appel à 10'800 fr., les met à la charge de B______ SA et A______, solidairement, et dit qu'ils sont entièrement compensés par l'avance effectuée, laquelle demeure acquise à l'Etat de Genève.</w:t>
      </w:r>
    </w:p>
    <w:p>
      <w:r>
        <w:t>- 14/14 -</w:t>
      </w:r>
    </w:p>
    <w:p>
      <w:r>
        <w:t>C/27615/2019 Condamne, conjointement et solidairement, B______ SA et A______ à verser à C______ SARL la somme de 6'000 fr. à titre de dépens d'appel. Siégeant :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