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ACJC/1099/2025 vom 20. August 2025</w:t>
      </w:r>
    </w:p>
    <w:p>
      <w:r>
        <w:t>GE Cour de justice, 2025-08-20, FR</w:t>
      </w:r>
    </w:p>
    <w:p>
      <w:r>
        <w:rPr>
          <w:b/>
        </w:rPr>
        <w:t xml:space="preserve">Quelle: </w:t>
      </w:r>
      <w:r>
        <w:t>https://mcp.opencaselaw.ch/entscheid/ge_gerichte_ACJC_1099_2025</w:t>
      </w:r>
    </w:p>
    <w:p>
      <w:r>
        <w:t>FR: GE_GERICHTE ACJC/1099/2025 du 20 août 2025</w:t>
      </w:r>
    </w:p>
    <w:p>
      <w:r>
        <w:t>IT: GE_GERICHTE ACJC/1099/2025 del 20 agosto 2025</w:t>
      </w:r>
    </w:p>
    <w:p>
      <w:pPr>
        <w:pStyle w:val="Heading2"/>
      </w:pPr>
      <w:r>
        <w:t>Volltext</w:t>
      </w:r>
    </w:p>
    <w:p>
      <w:r>
        <w:t>Le présent arrêt est communiqué aux parties par plis recommandés du 20 août 2025.</w:t>
      </w:r>
    </w:p>
    <w:p>
      <w:r>
        <w:t>REPUBLIQUE ET</w:t>
      </w:r>
    </w:p>
    <w:p>
      <w:r>
        <w:t>CANTON DE GENEVE POUVOIR JUDICIAIRE C/14723/2024 ACJC/1099/2025 ARRÊT DE LA COUR DE JUSTICE Chambre civile DU MARDI 19 AOÛT 2025</w:t>
      </w:r>
    </w:p>
    <w:p>
      <w:r>
        <w:t>Entre Monsieur A______, domicilié ______ [VD], appelant d'un jugement rendu par la 13ème Chambre du Tribunal de première instance de ce canton le 20 juin 2025, représenté par Me Magda KULIK, avocate, KULIK HOTTELIER, rue du Rhône 116, 1204 Genève, et Madame B______, domiciliée ______ [GE], intimée, représentée par Me Tania GRIOT-WITSCHARD, avocate, rue du Vieux Collège 10, 1204 Genève.</w:t>
      </w:r>
    </w:p>
    <w:p>
      <w:r>
        <w:t>- 2/4 -</w:t>
      </w:r>
    </w:p>
    <w:p>
      <w:r>
        <w:t>C/14723/2024 Attendu, EN FAIT, que, par jugement JTPI/7674/2025 du 20 juin 2025, le Tribunal de première instance, statuant sur mesures protectrices de l'union conjugale, a notamment condamné A______ à verser en mains de son épouse B______, par mois et d'avance, allocations familiales non comprises, 5'300 fr. à titre de contribution à l'entretien de leur fils C______, jusqu'à la rentrée scolaire 2025-2026, puis 5'000 fr. (ch. 13 du dispositif), 5'000 fr. à titre de contribution à l'entretien de leur fille D______, jusqu'à la rentrée scolaire 2025-2026, puis 4'700 fr. (ch. 14), 7'800 fr. à titre de contribution à l'entretien de B______ (ch. 16) et dit les allocations familiales reviendraient à cette dernière, en sus des contributions d'entretien (ch. 15); Que les époux se sont vu confier la garde alternée de leurs enfants; Que le Tribunal a notamment retenu que l'appelant était propriétaire de plusieurs immeubles et percevait des revenus locatifs, en plus de son activité de photographe; que sa capacité contributive a été fixée à 39'470 fr. environ par mois, étant précisé que cela ne tenait pas compte d'un éventuel revenu locatif à percevoir en lien avec ses résidences secondaires; Que, selon le Tribunal, il n'y avait pas lieu en l'état d'imputer à l'intimée une capacité contributive, car il convenait de lui laisser un temps d'adaptation supplémentaire pour développer son activité d'indépendante; Que, dans son appel formé le 23 juillet 2025, l'appelant a conclu à ce que la Cour ordonne la suspension de l'effet exécutoire des chiffres 13 à 16 du dispositif du jugement précité, faisant valoir que les montants auxquels il a été condamné excèdent notablement ceux qu'il versait jusque-là, que ses liquidités étaient limitées, qu'un revenu hypothétique devait être imputé à son épouse et que, dans l'hypothèse où il aurait gain de cause en appel, son épouse ne pourrait pas lui restituer les montants versé en trop car elle était excessivement dépensière; Que l'intimée a conclu au rejet de la requête d'effet suspensif, relevant que les montants de contributions fixés par le Tribunal n'étaient pas manifestement plus élevés que ceux versés jusque-là par l'appelant, ce qui était attesté par le fait qu'aucune somme ne lui avait été allouée au titre d'arriérés;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w:t>
      </w:r>
    </w:p>
    <w:p>
      <w:r>
        <w:t>- 3/4 -</w:t>
      </w:r>
    </w:p>
    <w:p>
      <w:r>
        <w:t>C/14723/2024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il ne ressort pas du dossier que le paiement des contributions fixées par le Tribunal exposerait l'appelant, qui est notamment propriétaire d'une fortune immobilière significative, à d'importantes difficultés financières; Qu'aucun élément concret du dossier ne permet de retenir qu'il ne pourrait pas obtenir le remboursement des sommes versées en trop dans l'hypothèse où il obtenait gain de cause à l'issue de la procédure d'appel; Que les contributions litigieuses sont de plus prima facie, et sans préjudice de la décision qui sera rendue au fond, vraisemblablement nécessaires pour couvrir les charges des enfants et de l'intimée, qui n'a pas de revenu pour le moment; Qu’au vu de ce qui précède, la requête de restitution de l’effet suspensif sera rejetée; Qu’il sera statué sur la question des frais relatifs à la présente décision dans l’arrêt au fond. * * * * *</w:t>
      </w:r>
    </w:p>
    <w:p>
      <w:r>
        <w:t>- 4/4 -</w:t>
      </w:r>
    </w:p>
    <w:p>
      <w:r>
        <w:t>C/14723/2024 PAR CES MOTIFS, La Chambre civile : Statuant sur requête de suspension du caractère exécutoire du jugement entrepris : Rejette la requête formée par A______ tendant à la suspension de l’effet exécutoire attaché aux chiffres 13 à 16 du dispositif du jugement JTPI/7674/2025 rendu le 20 juin 2025 par le Tribunal de première instance dans la cause C/14723/2024. Dit qu’il sera statué sur les frais dans l’arrêt au fond. Siégeant : Madame Fabienne GEISINGER-MARIETHOZ, présidente ad interim;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