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ACJC/1096/2018 vom 24. August 2018</w:t>
      </w:r>
    </w:p>
    <w:p>
      <w:r>
        <w:t>GE Cour de justice, 2018-08-24, FR</w:t>
      </w:r>
    </w:p>
    <w:p>
      <w:r>
        <w:rPr>
          <w:b/>
        </w:rPr>
        <w:t xml:space="preserve">Quelle: </w:t>
      </w:r>
      <w:r>
        <w:t>https://mcp.opencaselaw.ch/entscheid/ge_gerichte_ACJC_1096_2018</w:t>
      </w:r>
    </w:p>
    <w:p>
      <w:r>
        <w:t>FR: GE_GERICHTE ACJC/1096/2018 du 24 août 2018</w:t>
      </w:r>
    </w:p>
    <w:p>
      <w:r>
        <w:t>IT: GE_GERICHTE ACJC/1096/2018 del 24 agosto 2018</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 prozessordnung, 2013, n. 17a ad art. 126 CPC).</w:t>
      </w:r>
    </w:p>
    <w:p>
      <w:r>
        <w:t>- 4/8 -</w:t>
      </w:r>
    </w:p>
    <w:p>
      <w:r>
        <w:t>C/11125/2016 La décision de refus de suspension ne peut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w:t>
      </w:r>
    </w:p>
    <w:p>
      <w:r>
        <w:rPr>
          <w:b/>
        </w:rPr>
        <w:t>E. 1.2</w:t>
      </w:r>
    </w:p>
    <w:p>
      <w:r>
        <w:t>En l'espèce, dirigé contre une ordonnance refusant la suspension de la procédure, le recours, écrit et motivé, et déposé auprès de l'instance de recours dans un délai de dix jours à compter de la notification de la décision (art. 321 al. 1et 2 CPC), est recevable sous cet angle. Reste à déterminer si l'ordonnance querellée est susceptible de causer un préjudice difficilement réparable à la recourante.</w:t>
      </w:r>
    </w:p>
    <w:p>
      <w:r>
        <w:rPr>
          <w:b/>
        </w:rPr>
        <w:t>E. 2</w:t>
      </w:r>
    </w:p>
    <w:p>
      <w:r>
        <w:t>Les frais judiciaires de recours seront arrêtés à 500 fr., (art. 41 du Règlement fixant le tarif des frais en matière civile, RTFMC, E 1 05.10), et laissés à la charge de l'Etat de Genève (art. 107 al. 2 CPC). L'avance fournie par la recourante lui sera restituée. L'intimée sera condamnée aux dépens de la recourante, fixés à 1'000 fr., débours et TVA inclus (art. 85, 87 et 90 RTFMC; art. 23, 25 et 26 LaCC). * * * * * *</w:t>
      </w:r>
    </w:p>
    <w:p>
      <w:r>
        <w:t>- 7/8 -</w:t>
      </w:r>
    </w:p>
    <w:p>
      <w:r>
        <w:t>C/11125/2016 PAR CES MOTIFS, La Chambre civile : A la forme : Déclare recevable le recours interjeté par A______ SA contre l'ordonnance ORTPI/328/2018 rendue le 19 avril 2018 par le Tribunal de première instance dans la cause C/11125/2016-22. Au fond : Annule cette ordonnance. Cela fait : Renvoie la cause au Tribunal de première instance pour instruction et nouvelle décision dans le sens des considérants. Sur les frais : Arrête les frais judiciaires du recours à 500 fr. et les met à la charge de l'Etat de Genève. Invite en conséquence les Services financiers du Pouvoir judiciaire à restituer à A______ SA la somme de 1'000 fr. versée à titre d'avance de frais de recours. Condamne B______ à verser à A______ SA la somme de 1'000 fr. à titre de dépens de recours. Siégeant : Monsieur Cédric-Laurent MICHEL, président; Madame Pauline ERARD, Madame Paola CAMPOMAGNANI, juges; Madame Camille LESTEVEN, greffière.</w:t>
      </w:r>
    </w:p>
    <w:p>
      <w:r>
        <w:t>Le président : Cédric-Laurent MICHEL</w:t>
      </w:r>
    </w:p>
    <w:p>
      <w:r>
        <w:t>La greffière : Camille LESTEVEN</w:t>
      </w:r>
    </w:p>
    <w:p>
      <w:r>
        <w:t>- 8/8 -</w:t>
      </w:r>
    </w:p>
    <w:p>
      <w:r>
        <w:t>C/11125/2016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2.2</w:t>
      </w:r>
    </w:p>
    <w:p>
      <w:r>
        <w:t>En l'espèce, le Tribunal a rendu la décision querellée sans que la recourante n'ait eu connaissance et partant n'ait pu se déterminer sur l'écriture de l'intimée du 18 avril 2018. Il a de la sorte manifestement violé le droit d'être entendu de la recourante, lui causant un dommage irréparable, cette violation ne pouvant être réparée ni dans le cadre du présent recours, au vu du pouvoir de cognition limité de la Cour de céans, ni dans le cadre d'un appel contre la décision au fond.</w:t>
      </w:r>
    </w:p>
    <w:p>
      <w:r>
        <w:t>Au vu de ce qui précède, la décision attaquée sera annulée. Il appartiendra au Tribunal de donner à la recourante la faculté de répliquer sur la réponse de l'intimée à la requête de suspension, et cas échéant à l'intimée de dupliquer, avant de rendre toute nouvelle décision. Le recours, en ce qu'il était dirigé contre le chiffre 3 du dispositif de l'ordonnance querellée est devenu sans objet, l'ordonnance du 29 mars 2018 y mentionnée ayant été révoquée et modifiée par le Tribunal par une nouvelle ordonnance du 14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