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ACJC/1095/2020 vom 6. August 2020</w:t>
      </w:r>
    </w:p>
    <w:p>
      <w:r>
        <w:t>GE Cour de justice, 2020-08-06, FR</w:t>
      </w:r>
    </w:p>
    <w:p>
      <w:r>
        <w:rPr>
          <w:b/>
        </w:rPr>
        <w:t xml:space="preserve">Quelle: </w:t>
      </w:r>
      <w:r>
        <w:t>https://mcp.opencaselaw.ch/entscheid/ge_gerichte_ACJC_1095_2020</w:t>
      </w:r>
    </w:p>
    <w:p>
      <w:r>
        <w:t>FR: GE_GERICHTE ACJC/1095/2020 du 6 août 2020</w:t>
      </w:r>
    </w:p>
    <w:p>
      <w:r>
        <w:t>IT: GE_GERICHTE ACJC/1095/2020 del 6 agosto 2020</w:t>
      </w:r>
    </w:p>
    <w:p>
      <w:pPr>
        <w:pStyle w:val="Heading2"/>
      </w:pPr>
      <w:r>
        <w:t>Erwägungen</w:t>
      </w:r>
    </w:p>
    <w:p>
      <w:r>
        <w:rPr>
          <w:b/>
        </w:rPr>
        <w:t>E. 1.1</w:t>
      </w:r>
    </w:p>
    <w:p>
      <w:r>
        <w:t>Le recours, formé contre les mesures d'exécution de l'évacuation prononcée par les premiers juges et interjeté dans le délai et suivant la forme prescrits par la loi, est recevable (art. 309 let. a, 319 let. a et 321 CPC).</w:t>
      </w:r>
    </w:p>
    <w:p>
      <w:r>
        <w:t>L'intitulé erroné de l'acte du 1er mai 2020 ne fait pas obstacle à sa recevabilité, étant donné qu'un intitulé doit être simplement rectifié, lorsque l'acte en question remplit les conditions de recevabilité du recours qui aurait dû être interjeté, ce qui est le cas en l'espèce (ATF 134 III 379 consid. 1.2; 131 I 291 consid. 1.3).</w:t>
      </w:r>
    </w:p>
    <w:p>
      <w:r>
        <w:rPr>
          <w:b/>
        </w:rPr>
        <w:t>E. 1.2</w:t>
      </w:r>
    </w:p>
    <w:p>
      <w:r>
        <w:t>Dans le cadre d'un recours, les allégués nouveaux et les pièces nouvelles sont irrecevables (art. 326 CPC).</w:t>
      </w:r>
    </w:p>
    <w:p>
      <w:r>
        <w:t>La nature particulière de la procédure sommaire de protection des cas clairs de l'art. 257 CPC exige que le juge d'appel apprécie les faits sur la base des preuves déjà appréciées par le premier juge. La production de pièces nouvelles est ainsi exclue (arrêts du Tribunal fédéral 4A_312/2013 du 17 octobre 2013 consid. 3.2 et 4A_420/2012 du 7 novembre 2012 consid. 5).</w:t>
      </w:r>
    </w:p>
    <w:p>
      <w:r>
        <w:t>Il s'ensuit que la Cour examinera la cause uniquement sur la base du dossier qui se trouvait déjà en mains du Tribunal.</w:t>
      </w:r>
    </w:p>
    <w:p>
      <w:r>
        <w:rPr>
          <w:b/>
        </w:rPr>
        <w:t>E. 1.3</w:t>
      </w:r>
    </w:p>
    <w:p>
      <w:r>
        <w:t>Les motifs pouvant être invoqués sont la violation du droit et la constatation manifestement inexacte des faits (art. 320 CPC).</w:t>
      </w:r>
    </w:p>
    <w:p>
      <w:r>
        <w:rPr>
          <w:b/>
        </w:rPr>
        <w:t>E. 2</w:t>
      </w:r>
    </w:p>
    <w:p>
      <w:r>
        <w:t>Le Tribunal a retenu que la recourante occupait illicitement les locaux litigieux, le bail principal ayant été résilié au 31 décembre 2019. Cette résiliation n'avait pas été contestée et aucune prolongation de bail n'avait été obtenue, de sorte que l'évacuation immédiate de la recourante devait être prononcée.</w:t>
      </w:r>
    </w:p>
    <w:p>
      <w:r>
        <w:t>La recourante fait valoir que l'exécution immédiate de son évacuation conduirait à sa faillite, dès lors qu'elle ne dispose pas d'autres locaux pour exercer son activité professionnelle. L'atelier, qui lui avait été attribué pour la fin mai 2020, ne pouvait pas lui être remis dans ce délai, les travaux de rénovation de celui-ci étant interrompus en raison de la pandémie de COVID-19. Ayant déjà trouvé un autre local, elle avait démontré vouloir quitter les locaux litigieux dans un délai raisonnable. Elle requiert donc qu'un sursis à l'exécution de l'évacuation lui soit octroyé au 31 décembre 2020.</w:t>
      </w:r>
    </w:p>
    <w:p>
      <w:r>
        <w:rPr>
          <w:b/>
        </w:rPr>
        <w:t>E. 2.1</w:t>
      </w:r>
    </w:p>
    <w:p>
      <w:r>
        <w:t>L'exécution forcée d'un jugement ordonnant l'expulsion d'un locataire est régie par le droit fédéral (cf. art. 335 et ss CPC).</w:t>
      </w:r>
    </w:p>
    <w:p>
      <w:r>
        <w:t>- 5/7 -</w:t>
      </w:r>
    </w:p>
    <w:p>
      <w:r>
        <w:t>C/1401/2020</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w:t>
      </w:r>
    </w:p>
    <w:p>
      <w:r>
        <w:t>L'art. 30 al. 4 de la loi genevoise d'application du code civil suisse et d'autres lois fédérales en matière civile (LaCC - E 1 05)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La protection de l'art. 30 al. 4 LaCC ne s'applique toutefois pas aux locaux commerciaux. Le fait qu'une évacuation immédiate entraînerait une cessation immédiate des activités professionnelles du locataire et des répercussions sur sa situation financière n'est pas pertinent et ne peut faire obstacle à l'exécution immédiate du jugement d'évacuation (ACJC/452/2020 du 16 mars 2020 consid 2.3.3; ACJC/392/2019 du 18 mars 2019 consid. 2.2; ACJC/937/2018 du 12 juillet 2018 consid. 4.1).</w:t>
      </w:r>
    </w:p>
    <w:p>
      <w:r>
        <w:rPr>
          <w:b/>
        </w:rPr>
        <w:t>E. 2.2</w:t>
      </w:r>
    </w:p>
    <w:p>
      <w:r>
        <w:t>En l'espèce, aucun motif humanitaire au sens de l'art. 30 LaCC n'entre en considération, puisque les locaux litigieux sont des locaux commerciaux. En outre, les faits allégués par la recourante à l'appui de sa demande de sursis sont nouveaux et partant irrecevables, de même que les conclusions prises sur cette base.</w:t>
      </w:r>
    </w:p>
    <w:p>
      <w:r>
        <w:t>Même à considérer le principe de proportionnalité et l'impossibilité pour la recourante d'exercer son activité, il y aurait lieu de retenir une certaine urgence pour l'intimée à récupérer les locaux, compte tenu de leur état de vétusté. En effet, il ressort du relevé de surveillance du 14 octobre 2019 que l'état de la charpente des locaux litigieux impose la cessation de toute activité à l'intérieur de ceux-ci au 31 décembre 2019, soit la date correspondant à la fin du bail principal. Le Tribunal, par jugement JTBL/1057/2016 du 17 novembre 2016, a d'ailleurs refusé une prolongation du bail principal pour ce motif.</w:t>
      </w:r>
    </w:p>
    <w:p>
      <w:r>
        <w:t>- 6/7 -</w:t>
      </w:r>
    </w:p>
    <w:p>
      <w:r>
        <w:t>C/1401/2020</w:t>
      </w:r>
    </w:p>
    <w:p>
      <w:r>
        <w:t>Par ailleurs, en raison de la présente procédure, la recourante a bénéficié dans les faits d'un sursis de près de quatre mois à compter du prononcé du jugement attaqué, ce qui constitue un délai supplémentaire raisonnable au sens des principes rappelés supra. A cet égard, il sied de relever que l'arrêt des chantiers de constructions et rénovations en raison de la pandémie de COVID-19 n'a été que de courte durée.</w:t>
      </w:r>
    </w:p>
    <w:p>
      <w:r>
        <w:t>Pour ces motifs, le recours sera rejeté.</w:t>
      </w:r>
    </w:p>
    <w:p>
      <w:r>
        <w:rPr>
          <w:b/>
        </w:rPr>
        <w:t>E. 3</w:t>
      </w:r>
    </w:p>
    <w:p>
      <w:r>
        <w:t>Il n'est pas prélevé de frais, s'agissant d'une cause soumise à la juridiction des baux et loyers (art. 22 al. 1 LaCC). * * * * *</w:t>
      </w:r>
    </w:p>
    <w:p>
      <w:r>
        <w:t>- 7/7 -</w:t>
      </w:r>
    </w:p>
    <w:p>
      <w:r>
        <w:t>C/1401/2020 PAR CES MOTIFS, La Chambre des baux et loyers : A la forme : Déclare recevable le recours interjeté le 1er mai 2020 par A______ SARL contre le jugement JTBL/228/2020 rendu le 3 mars 2020 par le Tribunal des baux et loyers dans la cause C/1401/2020-8-SD. Au fond : Le rejette. Dit que la procédure est gratuite. Déboute les parties de toutes autres conclusions. Siégeant : Madame Sylvie DROIN, présidente; Madame Pauline ERARD et Madame Fabienne GEISINGER-MARIETHOZ, juges; Monsieur Jean-Philippe ANTHONIOZ et Monsieur Serge PATEK, juges assesseurs; Madame Maïté VALENTE, greffière.</w:t>
      </w:r>
    </w:p>
    <w:p>
      <w:r>
        <w:t>La présidente : Sylvie DROIN</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