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ACJC/1093/2022 vom 25. August 2022</w:t>
      </w:r>
    </w:p>
    <w:p>
      <w:r>
        <w:t>GE Cour de justice, 2022-08-25, FR</w:t>
      </w:r>
    </w:p>
    <w:p>
      <w:r>
        <w:rPr>
          <w:b/>
        </w:rPr>
        <w:t xml:space="preserve">Quelle: </w:t>
      </w:r>
      <w:r>
        <w:t>https://mcp.opencaselaw.ch/entscheid/ge_gerichte_ACJC_1093_2022</w:t>
      </w:r>
    </w:p>
    <w:p>
      <w:r>
        <w:t>FR: GE_GERICHTE ACJC/1093/2022 du 25 août 2022</w:t>
      </w:r>
    </w:p>
    <w:p>
      <w:r>
        <w:t>IT: GE_GERICHTE ACJC/1093/2022 del 25 agosto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principalement sur le montant des contributions à l'entretien de l'enfant, il est de nature pécuniaire (ATF 133 III 393 consid. 2).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La Cour revoit la cause en fait et en droit avec un plein pouvoir d'examen (art. 310 CPC). La présente cause est soumise aux maximes d'office et inquisitoire illimitée dès lors qu'elle concerne l'enfant mineure des parties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t>- 6/12 -</w:t>
      </w:r>
    </w:p>
    <w:p>
      <w:r>
        <w:t>C/25570/2021 Les maximes de disposition et inquisitoire simple sont applicables s'agissant de la contribution d'entretien due à l'épouse (art. 58 et 272 CPC; ATF 129 III 417; arrêt du Tribunal fédéral 5A_315/2016 du 7 février 2017 consid. 9.1).</w:t>
      </w:r>
    </w:p>
    <w:p>
      <w:r>
        <w:rPr>
          <w:b/>
        </w:rPr>
        <w:t>E. 1.3</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Les pièces nouvellement produites, qui concernent le salaire de l'intimé et les éventuels remboursements de frais de transport, sont susceptibles d'avoir une incidence sur le montant de la contribution mensuelle d'entretien de l'enfant, de sorte qu'elles sont recevables.</w:t>
      </w:r>
    </w:p>
    <w:p>
      <w:r>
        <w:rPr>
          <w:b/>
        </w:rPr>
        <w:t>E. 3</w:t>
      </w:r>
    </w:p>
    <w:p>
      <w:r>
        <w:t>L'appelante reproche au Tribunal d'avoir retenu 380 fr. de frais de transport dans les charges mensuelles de l'intimé pour ses déplacements à I______ [VD] alors que ceux-ci lui sont remboursés par son employeur. 3.1.1 Selon l'art. 176 al. 1 ch. 1 CC, lorsque le juge constate que la suspension de la vie commune est fondée, il fixe la contribution pécuniaire à verser par un époux à l'autre. Selon la jurisprudence, même lorsqu'on ne peut plus sérieusement compter sur la reprise de la vie commune, l'art. 163 CC demeure la cause de l'obligation d'entretien réciproque des époux en mesures protectrices de l'union conjugale (arrêt du Tribunal fédéral 5A_409/2021 du 4 mars 2022 consid. 3.2.2). 3.1.2 Selon l'art. 276 al. 1 CC, applicable par renvoi de l'art. 176 al. 1 ch. 3 CC, l'entretien de l'enfant est assuré par les soins, l'éducation et des prestations</w:t>
      </w:r>
    </w:p>
    <w:p>
      <w:r>
        <w:t>- 7/12 -</w:t>
      </w:r>
    </w:p>
    <w:p>
      <w:r>
        <w:t>C/25570/2021 pécuniaires. Ces trois éléments étant considérés comme équivalents (ATF 147 III 265 consid. 5.5; arrêts du Tribunal fédéral 5A_117/2021 du 9 mars 2022 consid. 4.2 et 5A_450/2020 du 4 janvier 2021 consid. 5.3).</w:t>
      </w:r>
    </w:p>
    <w:p>
      <w:r>
        <w:t>En vertu de l'art. 276 al. 2 CC, les parents contribuent ensemble, chacun selon ses facultés, à l'entretien convenable de l'enfant et assument en particulier les frais de sa prise en charge, de son éducation, de sa formation et des mesures prises pour le protéger.</w:t>
      </w:r>
    </w:p>
    <w:p>
      <w:r>
        <w:t>Selon l'art. 276a al. 1 CC, l'obligation d'entretien envers un enfant mineur prime les autres obligations d'entretien du droit de la famille.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141 III 401 consid. 4.1; 140 III 337 consid. 4.3 et les références; arrêt du Tribunal fédéral 5A_1040/2020 du 8 juin 2021 consid. 3.1.1).</w:t>
      </w:r>
    </w:p>
    <w:p>
      <w:r>
        <w:t>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 3.1.3 Dans quatre arrêts publiés récents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w:t>
      </w:r>
    </w:p>
    <w:p>
      <w:r>
        <w:t>- 8/12 -</w:t>
      </w:r>
    </w:p>
    <w:p>
      <w:r>
        <w:t>C/25570/2021</w:t>
      </w:r>
    </w:p>
    <w:p>
      <w:r>
        <w:t>3.1.4 Dans le calcul des besoins, le point de départ est le minimum vital du droit des poursuites, comprenant l'entretien de base selon les Normes d'insaisissabilité (NI 2021, RS/GE E 3 60.04). L'entretien de base mensuel pour une personne en situation monoparentale (1'350 fr.) comprend l'alimentation, les vêtements et le linge y compris leur entretien, les soins corporels et de santé, l'entretien du logement, les frais culturels ainsi que les dépenses pour l'éclairage, le courant électrique ou le gaz pour la cuisine (Norme I.2).</w:t>
      </w:r>
    </w:p>
    <w:p>
      <w:r>
        <w:t>Selon cette Norme, il convient de prendre en compte les dépenses indispensables à l'exercice d'une profession, dans la mesure où l'employeur ne les prend pas à sa charge et qui concernent les déplacements du domicile au lieu de travail (ch. II.4.d).</w:t>
      </w:r>
    </w:p>
    <w:p>
      <w:r>
        <w:t>Selon la jurisprudence, si la situation financière des parties est serrée, les frais de véhicule ne peuvent être pris en considération que si le véhicule est nécessaire à l'exercice de la profession du débiteur, l'utilisation des transports publics ne pouvant être raisonnablement exigée (ATF 110 III 17 consid. 2d; arrêt du Tribunal fédéral 5A_971/2020 du 19 novembre 2021 consid. 9.2 et les arrêts cités). 3.1.5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w:t>
      </w:r>
    </w:p>
    <w:p>
      <w:r>
        <w:t>3.2.1 En l'espèce, le Tribunal a correctement appliqué la méthode ci-dessus pour déterminer le montant de la contribution d'entretien due à l'enfant, ce qui est admis par les parties. Il a également retenu avec raison que la situation financière des parties était serrée, de sorte qu'il convenait de s'en tenir à leurs charges mensuelles d'entretien déterminées selon le minimum vital du droit des poursuites. 3.2.2 L'appelante reproche à juste titre au Tribunal d'avoir admis 380 fr. de frais de transport dans les charges de l'intimé puisqu'il ressort de ses bulletins de paie de juin à septembre et décembre 2021 que son employeur lui a remboursé ses frais de déplacement professionnels. L'intimé a également perçu une indemnité pour les kilomètres effectués, selon son bulletin de salaire de janvier 2022, de sorte qu'il n'y a pas lieu de comptabiliser de montants supplémentaires au titre de frais de transport. L'intimé n'a de plus pas rendu vraisemblable que l'indemnité forfaitaire versée par son employeur ne couvre pas l'entier de ses frais de transport effectifs.</w:t>
      </w:r>
    </w:p>
    <w:p>
      <w:r>
        <w:t>- 9/12 -</w:t>
      </w:r>
    </w:p>
    <w:p>
      <w:r>
        <w:t>C/25570/2021 Il ressort de ce qui précède que seul le forfait de 70 fr. pour l'abonnement aux transports publics genevois sera comptabilisé dans les charges de l'intimé, comme cela a été le cas pour l'appelante. Les charges mensuelles de l'intimé seront dès lors arrêtées à 3'034 fr. 30 (3'344 fr. 30 – 380 fr. + 70 fr.). Compte tenu de son salaire mensuel net moyen de 3'771 fr., son disponible mensuel est de 736 fr. 70. Il se justifie ainsi de condamner l'intimé à verser en mains de l'appelante une contribution mensuelle d'entretien pour leur fille arrêtée à 730 fr., dès le 1er du mois suivant la séparation effective des parties et jusqu'à la majorité de l'enfant, voire au-delà aux conditions de l'art. 277 al. 2 CC, termes non remis en cause par l'appelante. Cette contribution s'entend allocations familiales comprises, puisque le salaire pris en compte pour la calculer comprend lesdites allocations. L'appel est partiellement fondé et le ch. 6 du dispositif du jugement entrepris sera, dès lors, modifié dans ce sens. 3.2.3 Il résulte de ce qui précède que les revenus mensuels de l'intimé ne suffisent pas à couvrir l'entier de l'entretien de l'enfant, de sorte qu'il ne peut pas être condamné à verser une contribution mensuelle d'entretien en faveur de l'appelante (art. 276a al. 1 CC). Le ch. 8 du dispositif du jugement entrepris sera, dès lors, confirmé.</w:t>
      </w:r>
    </w:p>
    <w:p>
      <w:r>
        <w:rPr>
          <w:b/>
        </w:rPr>
        <w:t>E. 4.1</w:t>
      </w:r>
    </w:p>
    <w:p>
      <w:r>
        <w:t>Lorsque l'instance d'appel statue à nouveau, elle se prononce sur les frais de la première instance (art. 318 al. 3 CPC).</w:t>
      </w:r>
    </w:p>
    <w:p>
      <w:r>
        <w:t>Le premier juge a mis les frais judiciaires, arrêtés à 200 fr., à la charge des parties pour moitié chacune et n'a pas alloué de dépens.</w:t>
      </w:r>
    </w:p>
    <w:p>
      <w:r>
        <w:t>Compte tenu de la nature familiale du litige, une modification de la décision déférée sur ces points ne s'impose pas (art. 106 al. 2 et 107 al. 1 let. c CPC).</w:t>
      </w:r>
    </w:p>
    <w:p>
      <w:r>
        <w:rPr>
          <w:b/>
        </w:rPr>
        <w:t>E. 4.2</w:t>
      </w:r>
    </w:p>
    <w:p>
      <w:r>
        <w:t>Les frais judiciaires de la procédure d'appel sont fixés à 800 fr. (art. 31 et 37 RTFMC), couverts par l'avance de frais opérée par l'appelante.</w:t>
      </w:r>
    </w:p>
    <w:p>
      <w:r>
        <w:t>Pour des motifs d'équité liés à la nature du litige, ils seront répartis à parts égales entre les parties (art. 95, 104 al. 1, 105, 106 al. 1 et 107 al. 1 let. c CPC).</w:t>
      </w:r>
    </w:p>
    <w:p>
      <w:r>
        <w:t>Les Services financiers du Pouvoir judiciaire seront, par conséquent, invités à restituer la somme de 400 fr. à l'appelante, le solde de son avance de frais étant acquise à l'Etat de Genève (art. 111 al. 1 CPC).</w:t>
      </w:r>
    </w:p>
    <w:p>
      <w:r>
        <w:t>- 10/12 -</w:t>
      </w:r>
    </w:p>
    <w:p>
      <w:r>
        <w:t>C/25570/2021</w:t>
      </w:r>
    </w:p>
    <w:p>
      <w:r>
        <w:t>Dans la mesure où l'intimé plaide au bénéfice de l'assistance judiciaire, sa part de frais sera provisoirement supportée par l'Etat de Genève (art. 122 al. 1 let. b CPC), étant rappelé que le bénéficiaire de l'assistance judiciaire est tenu au remboursement des frais judiciaires mis à la charge de l'Etat dans la mesure de l'art. 123 CPC (art. 19 RAJ).</w:t>
      </w:r>
    </w:p>
    <w:p>
      <w:r>
        <w:t>Compte tenu de la nature familiale du litige, chaque partie supportera ses propres dépens d'appel (art. 107 al. 1 let. c CPC). * * * * *</w:t>
      </w:r>
    </w:p>
    <w:p>
      <w:r>
        <w:t>- 11/12 -</w:t>
      </w:r>
    </w:p>
    <w:p>
      <w:r>
        <w:t>C/25570/2021</w:t>
      </w:r>
    </w:p>
    <w:p>
      <w:r>
        <w:t>PAR CES MOTIFS, La Chambre civile : A la forme : Déclare recevable l'appel interjeté le 5 mai 2022 par A______ contre les chiffres 6 et 8 du dispositif du jugement JTPI/4864/2022 rendu le 21 avril 2022 par le Tribunal de première instance dans la cause C/25570/2021. Au fond : Annule le chiffre 6 du dispositif de ce jugement et, statuant à nouveau sur ce point : Condamne B______ à verser en mains de A______, par mois et d'avance, allocations familiales comprises, 730 fr. au titre de contribution à l'entretien de leur fille C______, dès le 1er du mois suivant la séparation effective des parties et jusqu'à la majorité de l'enfant, voire au-delà aux conditions de l'art. 277 al. 2 CC. Confirme le jugement querellé pour le surplus. Déboute les parties de toutes autres conclusions. Sur les frais : Arrête les frais judiciaires d'appel à 800 fr., les met à la charge des parties par moitié chacune et dit qu'ils sont compensés à concurrence de 400 fr. avec l'avance fournie par A______, qui demeure acquise à l'Etat de Genève dans cette mesure. Dit que les frais à la charge de B______ sont provisoirement supportés par l'Etat de Genève, vu l'octroi de l'assistance judiciaire. Invite les Services financiers du Pouvoir judiciaire à restituer la somme de 400 fr. à A______. Dit que chaque partie supporte ses propres dépens d'appel. Siégeant : Madame Fabienne GEISINGER-MARIETHOZ, présidente; Monsieur Ivo BUETTI, Madame Jocelyne DEVILLE-CHAVANNE, juges; Madame Gladys REICHENBACH, greffière. La présidente : Fabienne GEISINGER-MARIETHOZ</w:t>
      </w:r>
    </w:p>
    <w:p>
      <w:r>
        <w:t>La greffière : Gladys REICHENBACH</w:t>
      </w:r>
    </w:p>
    <w:p>
      <w:r>
        <w:t>- 12/12 -</w:t>
      </w:r>
    </w:p>
    <w:p>
      <w:r>
        <w:t>C/25570/2021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