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ACJC/1093/2020 vom 6. August 2020</w:t>
      </w:r>
    </w:p>
    <w:p>
      <w:r>
        <w:t>GE Cour de justice, 2020-08-06, FR</w:t>
      </w:r>
    </w:p>
    <w:p>
      <w:r>
        <w:rPr>
          <w:b/>
        </w:rPr>
        <w:t xml:space="preserve">Quelle: </w:t>
      </w:r>
      <w:r>
        <w:t>https://mcp.opencaselaw.ch/entscheid/ge_gerichte_ACJC_1093_2020</w:t>
      </w:r>
    </w:p>
    <w:p>
      <w:r>
        <w:t>FR: GE_GERICHTE ACJC/1093/2020 du 6 août 2020</w:t>
      </w:r>
    </w:p>
    <w:p>
      <w:r>
        <w:t>IT: GE_GERICHTE ACJC/1093/2020 del 6 agosto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t>- 9/13 -</w:t>
      </w:r>
    </w:p>
    <w:p>
      <w:r>
        <w:t>C/10704/2018</w:t>
      </w:r>
    </w:p>
    <w:p>
      <w:r>
        <w:rPr>
          <w:b/>
        </w:rPr>
        <w:t>E. 1.2</w:t>
      </w:r>
    </w:p>
    <w:p>
      <w:r>
        <w:t>En l'espèce, les appelantes ont chiffré à 23'400 fr. et 438'349 fr. en capital leur demande de réduction du loyer, respectivement celle à titre d'indemnité. La valeur litigieuse est largement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w:t>
      </w:r>
    </w:p>
    <w:p>
      <w:r>
        <w:t>- 10/13 -</w:t>
      </w:r>
    </w:p>
    <w:p>
      <w:r>
        <w:t>C/10704/2018 Exceptionnellement, des conclusions indéterminées et imprécises suffisent lorsque la motivation du recours ou la décision attaquée permet de comprendre d'emblée la modification requise (ATF 134 III 235 consid. 2; arrêts du Tribunal fédéral 5A_676/2014 du 18 mai 2015 consid. 3; 4A_42/2014 du 17 octobre 2014 consid. 4.2).</w:t>
      </w:r>
    </w:p>
    <w:p>
      <w:r>
        <w:rPr>
          <w:b/>
        </w:rPr>
        <w:t>E. 1.4</w:t>
      </w:r>
    </w:p>
    <w:p>
      <w:r>
        <w:t>En l'espèce, les appelantes concluent à ce que la quotité de la réduction de loyer consécutive aux fuites soit plus importante que celle retenue par les premiers juges, aux motifs que les fuites ont retardé de six mois l'ouverture du restaurant, élément non retenu par le Tribunal. Bien que succincte, cette motivation sera considérée comme suffisante, les appelantes ayant agi en personne au moment du dépôt de l'appel. L'appel ayant été interjeté dans le délai, il est ainsi recevable sous cet angle. De plus, sans prendre de conclusions à cet effet, les appelantes semblent également mettre en cause le jugement entrepris au sujet de la responsabilité contractuelle de l'intimée consécutivement aux travaux de carottage nécessaires à l'installation de la ventilation et la plus-value en découlant, ainsi que le montant de 6'000 fr. retenu par l'intimée. Conformément à la jurisprudence précitée, ces griefs sont irrecevables, faute de conclusions prises à ce sujet. Quoi qu'il en soit, même si ces griefs avaient été recevables, ils auraient été mal fondés (cf. consid. 3.2 et 4.4 ci-après).</w:t>
      </w:r>
    </w:p>
    <w:p>
      <w:r>
        <w:rPr>
          <w:b/>
        </w:rPr>
        <w:t>E. 1.5</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appelantes font grief aux premiers juges de n'avoir pas retenu une réduction de 75% du loyer pour les mois de mars à août 2017 en raison des fuites d'eau. Ces dernières ont retardé, selon elles, de six mois l'ouverture du restaurant.</w:t>
      </w:r>
    </w:p>
    <w:p>
      <w:r>
        <w:rPr>
          <w:b/>
        </w:rPr>
        <w:t>E. 2.1</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la consignation du loyer.</w:t>
      </w:r>
    </w:p>
    <w:p>
      <w:r>
        <w:t>- 11/13 -</w:t>
      </w:r>
    </w:p>
    <w:p>
      <w:r>
        <w:t>C/10704/2018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Comme ce calcul proportionnel n'est pas toujours aisé, il est admis qu'une appréciation en équité, par référence à l'expérience générale de la vie, au bon sens et à la casuistique, n'est pas contraire au droit fédéral (ATF 130 III 504 consid. 4.1). La pratique reconnaît au juge un large pouvoir d'appréciation dans la détermination de la quotité de réduction du loyer (LACHAT/RUBLI, op. cit., p. 316). La jurisprudence a retenu les réductions suivantes dans le cadre de nuisances liées à des infiltrations d'eau touchant des locaux commerciaux : 10% pour des infiltrations d'eau dans un garage automobile (ACJC/874/2014 du 16 juillet 2014) ou pour l'inondation de la cave d'un local commercial (ACJC/52/2006 du 12 juin 2006) et 18% pour un défaut d'isolation, condensation et humidité excessive dans un local destiné à une école de danse (LACHAT/RUBLI, op. cit., p. 317).</w:t>
      </w:r>
    </w:p>
    <w:p>
      <w:r>
        <w:rPr>
          <w:b/>
        </w:rPr>
        <w:t>E. 2.2</w:t>
      </w:r>
    </w:p>
    <w:p>
      <w:r>
        <w:t>En l'espèce, l'intimée n'a pas contesté l'existence de fuites d'eau, survenues entre les mois de mars et août 2017, nécessitant plusieurs interventions pour y mettre un terme en août 2017. La régie a reconnu que les infiltrations étaient d'une certaine ampleur et qu'elles avaient entraîné des nuisances relativement aux aménagements entrepris par les locataires. Ces fuites d'eau s'étant produites dans un local commercial, les premiers juges ont retenu à bon droit qu'elles étaient constitutives d'un défaut de la chose louée, et accordé une réduction de loyer de ce chef. Les appelantes persistent à soutenir que ces fuites auraient retardé l'exécution des travaux d'aménagement, thèse que les premiers juges ont considéré comme non établie. Elles ne font pas valoir sur ce point que les premiers juges auraient omis un élément de preuve ni n'en désignent à ce titre. Au vu de ce qui précède, le jugement querellé sera confirmé sur ce point.</w:t>
      </w:r>
    </w:p>
    <w:p>
      <w:r>
        <w:rPr>
          <w:b/>
        </w:rPr>
        <w:t>E. 3</w:t>
      </w:r>
    </w:p>
    <w:p>
      <w:r>
        <w:t>Les appelantes reprochent encore aux premiers juges, à bien les comprendre, de ne pas avoir pris en compte l'absence de place dans les gaines techniques pour installer la ventilation du restaurant, sans prendre de conclusions comme déjà retenu ci-dessus.</w:t>
      </w:r>
    </w:p>
    <w:p>
      <w:r>
        <w:t>- 12/13 -</w:t>
      </w:r>
    </w:p>
    <w:p>
      <w:r>
        <w:t>C/10704/2018</w:t>
      </w:r>
    </w:p>
    <w:p>
      <w:r>
        <w:t>Elles font aussi grief aux premiers juges de n'avoir pas retenu la plus-value relative à l'installation de nouvelles gaines de ventilation dans la cage d'escalier et le montant de 6'000 fr. retenu à tort par l'intimée. Même si le grief avait été recevable, celui-ci aurait été mal fondé, car les appelantes ont échoué à prouver que l'intimée avait promis qu'elles pouvaient faire passer les gaines de ventilation du restaurant dans la courette existante, ni que celle-ci avait fait preuve de mauvaise foi à ce sujet. En ce qui concerne le grief lié à la plus-value, s'il n'avait pas été irrecevable, il aurait été aussi infondé. Les parties au contrat de bail portant sur l'arcade ont exclu en effet le droit à une indemnité pour les travaux réalisés par les locataires conformément à l'art. 16 des clauses complémentaires de ce contrat. L'art. 260a al. 3 CO étant de nature dispositive, les appelantes ne sauraient obtenir une indemnité à cet égard. La fin prématurée du contrat ne change en rien cette renonciation à une indemnité par les locataires pour les travaux qu'ils ont réalisés. Le contrat a été résilié prématurément du seul fait des locataires, qui n'ont ni fourni les sûretés requises par l'intimée, ni réglé les retards de loyer dans le délai imparti. Les locataires étant seuls responsables de la résiliation du contrat, les appelantes ne sauraient prétendre à une quelconque indemnité du fait de la fin anticipée du contrat. La théorie de l'imprévision n'est pas applicable pour les mêmes raisons. La condition de l'imprévisibilité n'est pas réalisée au vu de la seule responsabilité des locataires dans la résiliation du contrat. De plus, le mécanisme juridique découlant de l'art. 257d CO n'est pas non plus imprévisible, étant expressément prévu par la loi. De plus, les appelantes ont échoué à démontrer la valeur des travaux réalisés et quels travaux devaient être considérés comme des travaux de rénovation et lesquels étaient des travaux d'aménagement nécessaire à l'affectation finale des locaux. Quant au montant de 6'000 fr. allégué par les appelantes, il a été compensé par l'intimée sur les arriérés de loyer.</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C/10704/2018 PAR CES MOTIFS, La Chambre des baux et loyers : A la forme : Déclare recevable l'appel interjeté le 9 octobre 2019 par B______ et A______ SA contre le chiffre 1 du dispositif du jugement JTBL/819/2019 rendu le 2 septembre 2019 par le Tribunal des baux et loyers dans la cause C/10704/2018-1-OOD, et irrecevable pour le surplus. Au fond : Confirme le chiffre 1 du dispositif de ce jugement. Dit que la procédure est gratuite. Déboute les parties de toutes autres conclusions d'appel. Siégeant : Madame Sylvie DROIN, présidente; Madame Nathalie LANDRY-BARTHE et Monsieur Laurent RIEBEN, juges; Madame Zoé SEILER et Monsieur Nicolas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