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ACJC/1092/2020 vom 6. August 2020</w:t>
      </w:r>
    </w:p>
    <w:p>
      <w:r>
        <w:t>GE Cour de justice, 2020-08-06, FR</w:t>
      </w:r>
    </w:p>
    <w:p>
      <w:r>
        <w:rPr>
          <w:b/>
        </w:rPr>
        <w:t xml:space="preserve">Quelle: </w:t>
      </w:r>
      <w:r>
        <w:t>https://mcp.opencaselaw.ch/entscheid/ge_gerichte_ACJC_1092_2020</w:t>
      </w:r>
    </w:p>
    <w:p>
      <w:r>
        <w:t>FR: GE_GERICHTE ACJC/1092/2020 du 6 août 2020</w:t>
      </w:r>
    </w:p>
    <w:p>
      <w:r>
        <w:t>IT: GE_GERICHTE ACJC/1092/2020 del 6 agosto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du local commercial (62'400 fr.), de l'appartement (14'400 fr.) et de l'emplacement de parking (4'800 fr.), charges non comprises, s'élève à 81'600 fr. En prenant en compte la durée de protection de trois ans et le montant des loyers annuels susmentionnés, la valeur litigieuse est largement supérieure à 10'000 fr. (81'600 fr. x 3 ans = 244'800 fr.). La voie de l'appel est ainsi ouverte.</w:t>
      </w:r>
    </w:p>
    <w:p>
      <w:r>
        <w:rPr>
          <w:b/>
        </w:rPr>
        <w:t>E. 1.3</w:t>
      </w:r>
    </w:p>
    <w:p>
      <w:r>
        <w:t>Selon l'art. 311 al. 1 et 2 CPC, l'appel, écrit et motivé, est introduit auprès de l'instance d'appel dans les 30 jours à compter de la notification de la décision, laquelle doit être jointe au dossier. Selon la jurisprudence, l'appelant doit démontrer le caractère erroné de la motivation de la décision attaquée et son argumentation doit être suffisamment explicite pour que l'instance d'appel puisse la comprendre, ce qui suppose une</w:t>
      </w:r>
    </w:p>
    <w:p>
      <w:r>
        <w:t>- 10/14 -</w:t>
      </w:r>
    </w:p>
    <w:p>
      <w:r>
        <w:t>C/9319/2018 désignation précise des passages de la décision qu'il attaque et des pièces du dossier sur lesquelles repose sa critique (ATF 138 III 374 consid. 4.3.1). 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consid. 3.1; 4A_97/2014 du 26 juin 2014 consid. 3.3; 5A_438/2012 du 27 août 2012 consid. 2.2). L'appel ordinaire ayant un effet réformatoire (art. 318 let. a et b CPC), l'appelant ne peut - sous peine d'irrecevabilité - se limiter à conclure à l'annulation de la décision attaquée et/ou au renvoi de la cause à l'instance inférieure, mais doit au contraire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 in SJ 2012 I p. 373 et in JdT 2014 II p. 187; arrêt du Tribunal fédéral 4A_587/2012 du 9 janvier 2013 consid. 2). Exceptionnellement, des conclusions indéterminées et imprécises suffisent lorsque la motivation du recours ou la décision attaquée permet de comprendre d'emblée la modification requise (ATF 134 III 235 consid. 2; arrêts du Tribunal fédéral 5A_676/2014 du 18 mai 2015 consid. 3; 4A_42/2014 du 17 octobre 2014 consid. 4.2). En l'espèce, les appelantes ont déposé deux actes d'appel quasi identiques dans la présente cause et celle n° C/5______/2018. Dans la présente procédure, elles ont conclu à la constatation de l'inefficacité des congés notifiés le 13 juin 2018 du fait des montants qu'elles invoquaient en compensation.</w:t>
      </w:r>
    </w:p>
    <w:p>
      <w:r>
        <w:t>- 11/14 -</w:t>
      </w:r>
    </w:p>
    <w:p>
      <w:r>
        <w:t>C/9319/2018 L'appel ayant été interjeté dans le délai, il est ainsi recevable sous cet angle. Pour le surplus, la motivation de l'appel ne contient que des critiques toutes générales de la décision attaquée ou encore sur des éléments irrelevants, de sorte que, conformément à la jurisprudence précitée, les autres griefs que celui relatif à la question de compensation sont irrecevables.</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Les appelantes font grief aux premiers juges de n'avoir pas tenu compte des montants qu'elles invoquaient en compensation, à savoir un montant de 6'000 fr. non versé, selon elles, par l'intimée, une réduction du loyer consécutive à des fuites d'eau et des dommages-intérêts relatifs aux investissements réalisés par les locataires dans les locaux.</w:t>
      </w:r>
    </w:p>
    <w:p>
      <w:r>
        <w:rPr>
          <w:b/>
        </w:rPr>
        <w:t>E. 2.1</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w:t>
      </w:r>
    </w:p>
    <w:p>
      <w:r>
        <w:rPr>
          <w:b/>
        </w:rPr>
        <w:t>E. 2.2</w:t>
      </w:r>
    </w:p>
    <w:p>
      <w:r>
        <w:t>Le locataire en demeure, qui dispose d'une créance compensante contre le bailleur, pourra l'opposer en compensation afin d'empêcher une résiliation extraordinaire de son bail; pour que la dette soit éteinte par voie de compensation en temps utile, il est toutefois nécessaire que le locataire l'invoque avant l'expiration du délai de grâce (ATF 119 II 241 consid. 6b/bb; arrêt du Tribunal fédéral 4A_296/2008 du 29 juillet 2008 consid. 5.1). La compensation n'a lieu qu'autant que le débiteur fait connaître au créancier son intention de l'invoquer (art. 124 al. 1 CO). La déclaration de volonté doit permettre à son destinataire de comprendre, en fonction des circonstances, quelle est la créance compensée et</w:t>
      </w:r>
    </w:p>
    <w:p>
      <w:r>
        <w:t>- 12/14 -</w:t>
      </w:r>
    </w:p>
    <w:p>
      <w:r>
        <w:t>C/9319/2018 quelle est la créance compensante. Conformément à la règle de l'art. 8 CC, il appartient au débiteur qui prétend s'être libéré d'en apporter la preuve. Si la créance est contestée au sens de l'art. 120 al. 2 CO, l'effet compensatoire n'intervient que dans la mesure où l'incertitude est ultérieurement levée par le juge (ATF 136 III 624 consid. 4.2.3), à savoir s'il est judiciairement constaté que la contre-créance existe réellement. Invoquer la compensation avec une contre-créance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(arrêt du Tribunal fédéral 4A_140/2014 du 6 août 2014 consid. 5.2). Cette restriction se justifie d'autant plus que le locataire qui prétend avoir une créance en réduction de loyer ou en dommages-intérêts pour cause de défauts de l'objet loué n'est pas en droit de retenir tout ou partie du loyer échu; il n'a en principe que la possibilité de consigner le loyer, l'art. 259g CO étant une lex specialis par rapport à l'art. 82 CO (BOHNET/CARRON/MONTINI, Droit du bail à loyer et à ferme, 2017, n. 6 ad art. 259g CO). Il est donc dans son tort s'il retient le loyer (arrêt du Tribunal fédéral 4A_140/2014 du 6 août 2014 consid. 5.2). La créance compensante doit au surplus être exigible. Tel n'est pas le cas, en cours de bail, d'une créance en dommage-intérêts due au non-amortissement d'investissements résultant de la résiliation, exigible éventuellement à la fin du contrat (BOHNET/CARRON/MONTINI, op. cit., n. 29 ad art. 257d CO).</w:t>
      </w:r>
    </w:p>
    <w:p>
      <w:r>
        <w:rPr>
          <w:b/>
        </w:rPr>
        <w:t>E. 2.3</w:t>
      </w:r>
    </w:p>
    <w:p>
      <w:r>
        <w:t>En l'espèce, les premiers juges ont retenu à juste titre que le montant de 6'000 fr. invoqué en compensation par les appelantes et admis par l'intimée était inférieur à la somme réclamée par cette dernière dans les mises en demeure du 30 avril 2018, s'élevant au total à 43'620 fr. La créance compensante ne pouvait pas à elle seule couvrir les montants réclamés. En outre, la déclaration de compensation était tardive, ayant été formulée après la fin du délai comminatoire. Quant aux déclarations des appelantes des 5 et 20 février 2018, elles ne pouvaient pas valoir pour les créances réclamées ultérieurement dans les mises en demeure susmentionnées. Les autres contre-créances invoquées par les appelantes portent sur une réduction de loyer pour défaut de la chose louée et des dommages-intérêts relatifs aux investissements réalisés par les locataires dans les locaux, lesquelles n'étaient pas</w:t>
      </w:r>
    </w:p>
    <w:p>
      <w:r>
        <w:t>- 13/14 -</w:t>
      </w:r>
    </w:p>
    <w:p>
      <w:r>
        <w:t>C/9319/2018 exigibles dans le délai comminatoire, et ne peuvent dès lors être invoquées en compensation conformément aux jurisprudences rappelées ci-avant. Le grief des appelantes sera donc rejeté et le jugement entrepris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 * * *</w:t>
      </w:r>
    </w:p>
    <w:p>
      <w:r>
        <w:t>- 14/14 -</w:t>
      </w:r>
    </w:p>
    <w:p>
      <w:r>
        <w:t>C/9319/2018 PAR CES MOTIFS, La Chambre des baux et loyers : A la forme : Déclare recevable l'appel interjeté le</w:t>
      </w:r>
    </w:p>
    <w:p>
      <w:r>
        <w:rPr>
          <w:b/>
        </w:rPr>
        <w:t>E. 7</w:t>
      </w:r>
    </w:p>
    <w:p>
      <w:r>
        <w:t>juin 2011 consid. 5). Si ces conditions ne sont pas réalisées, le locataire peut faire valoir l'invalidité du congé à l'encontre de l'action en évacuation des locaux qui lui est plus tard intentée par le bailleur (ATF 121 III 156 consid. 1c/aa; 122 III 92 consid. 2d).</w:t>
      </w:r>
    </w:p>
    <w:p>
      <w:r>
        <w:rPr>
          <w:b/>
        </w:rPr>
        <w:t>E. 9</w:t>
      </w:r>
    </w:p>
    <w:p>
      <w:r>
        <w:t>octobre 2019 par B______ et A______ SA contre le chiffre 1 du dispositif du jugement JTBL/818/2019 rendu le 2 septembre 2019 par le Tribunal des baux et loyers dans la cause C/9319/2018-1-OSB, et irrecevable pour le surplus. Au fond : Confirme le jugement entrepris.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