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ACJC/1090/2022 vom 22. Februar 2022</w:t>
      </w:r>
    </w:p>
    <w:p>
      <w:r>
        <w:t>GE Cour de justice, 2022-02-22, FR</w:t>
      </w:r>
    </w:p>
    <w:p>
      <w:r>
        <w:rPr>
          <w:b/>
        </w:rPr>
        <w:t xml:space="preserve">Quelle: </w:t>
      </w:r>
      <w:r>
        <w:t>https://mcp.opencaselaw.ch/entscheid/ge_gerichte_ACJC_1090_2022</w:t>
      </w:r>
    </w:p>
    <w:p>
      <w:r>
        <w:t>FR: GE_GERICHTE ACJC/1090/2022 du 22 février 2022</w:t>
      </w:r>
    </w:p>
    <w:p>
      <w:r>
        <w:t>IT: GE_GERICHTE ACJC/1090/2022 del 22 febbraio 2022</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w:t>
      </w:r>
    </w:p>
    <w:p>
      <w:r>
        <w:t>- 4/8 -</w:t>
      </w:r>
    </w:p>
    <w:p>
      <w:r>
        <w:t>C/5759/2021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1.3</w:t>
      </w:r>
    </w:p>
    <w:p>
      <w:r>
        <w:t>Les conclusions, les allégations de faits et les preuves nouvelles sont irrecevables (art. 326 al. 1 CPC). Les allégués nouveaux et les pièces nouvelles du recourant ne sont donc pas recevables, pas plus que la pièce nouvelle versée par l'intimée.</w:t>
      </w:r>
    </w:p>
    <w:p>
      <w:r>
        <w:rPr>
          <w:b/>
        </w:rPr>
        <w:t>E. 2</w:t>
      </w:r>
    </w:p>
    <w:p>
      <w:r>
        <w:t>Le recourant reproche au Tribunal d'avoir admis sa compétence ratione loci et que l'intimée était au bénéfice d'un titre au sens de l'art. 82 LP, et d'avoir fait application de la prescription décennale plutôt que quinquennale. Il fait encore grief au premier juge d'avoir retenu que les cotisations étaient dues pour les années postérieures à 2008 alors que seul un formulaire d'adhésion avait été produit et non une décision d'adhésion.</w:t>
      </w:r>
    </w:p>
    <w:p>
      <w:r>
        <w:rPr>
          <w:b/>
        </w:rPr>
        <w:t>E. 2.1</w:t>
      </w:r>
    </w:p>
    <w:p>
      <w:r>
        <w:t>L’art. 50 al. 1 LP prévoit que le débiteur domicilié à l’étranger qui possède un établissement en Suisse peut y être poursuivi pour les dettes de celui-ci.</w:t>
      </w:r>
    </w:p>
    <w:p>
      <w:r>
        <w:t>La notification irrégulière d'un commandement de payer – à supposer que ce soit le cas en l'espèce - n'est pas frappée de nullité absolue, cet acte étant annulable dans le délai de plainte de dix jours (art. 17 al. 1 LP), même lorsque le poursuivi est domicilié à l'étranger (cf. arrêt du Tribunal fédéral 5A_487/2018 du 5 juillet 2018 consid. 4). C'est ainsi par la voie de la plainte, dont il n'a pas allégué devant le premier juge qu'elle aurait été utilisée, que le recourant devrait cas échéant faire valoir ses arguments liés à l'éventuelle informalité du commandement de payer frappé d'opposition, sous l'angle de l'art. 50 LP. Quant à la question du caractère supposément non professionnel de la créance déduite en poursuite, elle relèverait cas échéant de l'action en libération de dette. Il n'y a ainsi pas lieu de reprocher au juge de la mainlevée de s'être reconnu compétent à raison du lieu, au vu des éléments dont il disposait. 2.2.1 Aux termes de l’art. 82 LP, le créancier dont la poursuite se fonde sur une reconnaissance de dette contestée par acte authentique ou sous seing privé peut</w:t>
      </w:r>
    </w:p>
    <w:p>
      <w:r>
        <w:t>- 5/8 -</w:t>
      </w:r>
    </w:p>
    <w:p>
      <w:r>
        <w:t>C/5759/2021 requérir la mainlevée provisoire (al. 1). Le juge la prononce si le débiteur ne rend pas immédiatement vraisemblable sa libération (al. 2).</w:t>
      </w:r>
    </w:p>
    <w:p>
      <w:r>
        <w:t>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consid. 2.3.1).</w:t>
      </w:r>
    </w:p>
    <w:p>
      <w:r>
        <w:t>Une déclaration écrite d'adhésion à une association constitue une reconnaissance de dette pour le montant de la cotisation, tel que fixé par les statuts ou une décision de l'assemblée générale au moment de l'adhésion; les statuts ou la décision doivent être produits devant le juge de la mainlevée (ABBET/VEUILLET, La mainlevée de l'opposition, 2017, ad art. 82 n. 52). 2.2.2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(ATF 141 III 173 consid. 2.2.2).</w:t>
      </w:r>
    </w:p>
    <w:p>
      <w:r>
        <w:t>Sauf disposition contraire, les créances se prescrivent par dix ans (art. 127 CO). Ce délai court dès que la créance est exigible (art. 130 al. 1 CO). A défaut de terme stipulé ou résultant de la nature de l'affaire, l'obligation est exigible immédiatement (cf. art. 75 ss CO). Un délai de prescription plus court, soit cinq ans, s'applique aux redevances périodiques (art. 128 ch. 1 CO). Sont visées les prestations dont le débiteur est tenu à époques régulières, en vertu du même rapport d'obligation. Chacune des prestations doit pouvoir être exigée de façon indépendante; il n'est toutefois pas nécessaire que les prestations soient toutes de la même importance et que leur montant soit par avance exactement déterminé (ATF 124 III 370 consid. 3c). La prescription des cotisations à une association est en principe de cinq ans (FOËX, CR-CC, ad art. 71 n. 5). 2.2.3 En l'espèce, le recourant relève à raison que l'intimée n'a pas déposé au Tribunal ses statuts et le règlement des cotisations. Cependant, le montant de celles-ci a été apposé de façon manuscrite au bas de la formule d'adhésion, ce qui est de nature à libérer l'intimée de son obligation de démontrer la quotité prévue par ses statuts ou son règlement. Le recourant n'a pas allégué que cette mention n'aurait pas figuré dans la formule avant qu'il ne la signe, admettant au demeurant dans son appel que cette pièce prévoyait une cotisation de 240 fr. Il n'allègue pas non plus qu'il aurait présenté sa démission, se limitant à faire valoir pour la première fois dans son recours – ce qui n'est pas recevable comme il l'a été</w:t>
      </w:r>
    </w:p>
    <w:p>
      <w:r>
        <w:t>- 6/8 -</w:t>
      </w:r>
    </w:p>
    <w:p>
      <w:r>
        <w:t>C/5759/2021 examiné ci-dessus – qu'il n'aurait pas reçu de décision d'acceptation de son adhésion et les courriers de rappel de la part de l'intimée.</w:t>
      </w:r>
    </w:p>
    <w:p>
      <w:r>
        <w:t>Ainsi, comme l'a retenu le premier juge, il convient de retenir que l'intimée était au bénéfice d'un titre au sens de l'art. 82 LP.</w:t>
      </w:r>
    </w:p>
    <w:p>
      <w:r>
        <w:t>Le recourant soutient encore qu'une partie de la créance consisterait en des cotisations prescrites. Ce grief est fondé, le premier juge n'ayant pas pris en considération l'art. 128 ch. 1 CO, alors que la créance déduite en poursuite est composée de cotisations d'association, soit des prestations périodiques. L'intimée n'a pas allégué ni établi la date à laquelle elle a formé sa réquisition de poursuite; le commandement de payer a été dressé le 22 juin 2020. Il s'en déduit que seules les cotisations afférentes aux trimestres exigibles postérieurement au premier trimestre 2015 ne sont pas frappées de prescription. Le montant de la créance non prescrite est ainsi de 720 fr. (3 trimestres x 240 fr.) + 3'840 fr. (4 ans x 4 trimestres x 240 fr.), soit 4'560 fr. En définitive, le recours est partiellement fondé.</w:t>
      </w:r>
    </w:p>
    <w:p>
      <w:r>
        <w:t>Dès lors, la décision attaquée sera annulée, et il sera statué à nouveau (art. 327 al. 3 let. b CPC) dans le sens que la requête de mainlevée provisoire sera prononcée à concurrence de 4'560 fr.</w:t>
      </w:r>
    </w:p>
    <w:p>
      <w:r>
        <w:rPr>
          <w:b/>
        </w:rPr>
        <w:t>E. 3</w:t>
      </w:r>
    </w:p>
    <w:p>
      <w:r>
        <w:t>Le recourant obtient partiellement gain de cause; il se justifie de faire supporter les frais de première instance et de recours par moitié à chacune des parties (art. 106 al. 2 CPC).</w:t>
      </w:r>
    </w:p>
    <w:p>
      <w:r>
        <w:t>Ceux-ci, fixés à 300 fr. (quotité non contestée et conforme aux dispositions légales) en première instance seront confirmés, et seront complétés des frais de recours arrêtés à 450 fr. (art. 48, 61 OELP), compensés avec les avances opérées, acquises à l'Etat de Genève, soit au total 750 fr., supportés à raison de 375 fr. par chacune des deux parties.</w:t>
      </w:r>
    </w:p>
    <w:p>
      <w:r>
        <w:t>L'intimée remboursera donc 75 fr. au recourant, compte tenu des avances respectives versées.</w:t>
      </w:r>
    </w:p>
    <w:p>
      <w:r>
        <w:t>Elle lui versera en outre 300 fr. à titre de dépens réduits pour les deux instances (art. 85, 88, 89, 90 RTFMC). * * * * *</w:t>
      </w:r>
    </w:p>
    <w:p>
      <w:r>
        <w:t>- 7/8 -</w:t>
      </w:r>
    </w:p>
    <w:p>
      <w:r>
        <w:t>C/5759/2021 PAR CES MOTIFS, La Chambre civile : A la forme : Déclare recevable le recours formé par A______ contre le jugement JTPI/2225/2022 rendu le 22 février 2022 par le Tribunal de première instance dans la cause C/5759/2021–8 SML. Au fond : Annule ce jugement. Statuant à nouveau: Prononce la mainlevée provisoire de l'opposition formée au commandement de payer poursuite n° 1______ à concurrence de 4'560 fr. Déboute les parties de toutes autres conclusions. Sur les frais de première instance et de recours : Arrête les frais judiciaires à 750 fr., compensés avec les avances opérées, acquises à l'Etat de Genève. Condamne B______ à rembourser 75 fr. à A______. Condamne B______ à verser à A______ 300 fr. à titre de dépens réduits. Siégeant : Monsieur Laurent RIEBEN, président; Madame Sylvie DROIN, Madame Nathalie LANDRY-BARTHE, juges; Madame Mélanie DE RESENDE PEREIRA, greffière. Le président : Laurent RIEBEN</w:t>
      </w:r>
    </w:p>
    <w:p>
      <w:r>
        <w:t>La greffière : Mélanie DE RESENDE PEREIRA</w:t>
      </w:r>
    </w:p>
    <w:p>
      <w:r>
        <w:t>- 8/8 -</w:t>
      </w:r>
    </w:p>
    <w:p>
      <w:r>
        <w:t>C/5759/2021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