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ACJC/1089/2021 vom 2. September 2021</w:t>
      </w:r>
    </w:p>
    <w:p>
      <w:r>
        <w:t>GE Cour de justice, 2021-09-02, FR</w:t>
      </w:r>
    </w:p>
    <w:p>
      <w:r>
        <w:rPr>
          <w:b/>
        </w:rPr>
        <w:t xml:space="preserve">Quelle: </w:t>
      </w:r>
      <w:r>
        <w:t>https://mcp.opencaselaw.ch/entscheid/ge_gerichte_ACJC_1089_2021</w:t>
      </w:r>
    </w:p>
    <w:p>
      <w:r>
        <w:t>FR: GE_GERICHTE ACJC/1089/2021 du 2 septembre 2021</w:t>
      </w:r>
    </w:p>
    <w:p>
      <w:r>
        <w:t>IT: GE_GERICHTE ACJC/1089/2021 del 2 settembre 2021</w:t>
      </w:r>
    </w:p>
    <w:p>
      <w:pPr>
        <w:pStyle w:val="Heading2"/>
      </w:pPr>
      <w:r>
        <w:t>Erwägungen</w:t>
      </w:r>
    </w:p>
    <w:p>
      <w:r>
        <w:rPr>
          <w:b/>
        </w:rPr>
        <w:t>E. 1.1</w:t>
      </w:r>
    </w:p>
    <w:p>
      <w:r>
        <w:t>L'appel est recevable pour avoir été interjeté auprès de l'autorité compétente (art. 120 al. 1 let. a LOJ), dans le délai utile de dix jours (art. 142 al. 1, 271 let. a, 276 al. 1 et 314 al. 1 CPC) et selon la forme prescrite par la loi (art. 130, 131 et 311 al. 1 CPC), à l'encontre d'une décision rendue sur mesures provisionnelles (art. 308 al. 1 let. b CPC) dans une affaire dont la valeur litigieuse des conclusions pécuniaires est supérieure à 10'000 fr. (art. 91 al. 1, 92 al. 2 et 308 al. 2 CPC).</w:t>
      </w:r>
    </w:p>
    <w:p>
      <w:r>
        <w:rPr>
          <w:b/>
        </w:rPr>
        <w:t>E. 1.2</w:t>
      </w:r>
    </w:p>
    <w:p>
      <w:r>
        <w:t>La Cour revoit la cause en fait et en droit avec un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in JdT 2002 I p. 352 ; arrêt du Tribunal fédéral 5A_863/2014 du 16 mars 2015 consid. 1.4).</w:t>
      </w:r>
    </w:p>
    <w:p>
      <w:r>
        <w:rPr>
          <w:b/>
        </w:rPr>
        <w:t>E. 1.3</w:t>
      </w:r>
    </w:p>
    <w:p>
      <w:r>
        <w:t>Le tribunal établit les faits d'office (art. 272 CPC). La maxime de disposition est applicable s'agissant de la contribution d'entretien due à l'époux (ATF 129 III 417 précité; arrêts du Tribunal fédéral 5A_757/2013 du 14 juillet 2014 consid. 2.1 et 5A_574/2013 du 9 octobre 2013).</w:t>
      </w:r>
    </w:p>
    <w:p>
      <w:r>
        <w:rPr>
          <w:b/>
        </w:rPr>
        <w:t>E. 1.4</w:t>
      </w:r>
    </w:p>
    <w:p>
      <w:r>
        <w:t>L'appelante a produit deux pièces nouvelles en appel.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l'attestation de scolarité à l'ECG est irrecevable, dès lors qu'elle a été établie antérieurement à la date à laquelle la cause a été gardée à juger par le Tribunal. L'attestation d'immatriculation à la C______ [Université] est, quant à elle, recevable.</w:t>
      </w:r>
    </w:p>
    <w:p>
      <w:r>
        <w:rPr>
          <w:b/>
        </w:rPr>
        <w:t>E. 2</w:t>
      </w:r>
    </w:p>
    <w:p>
      <w:r>
        <w:t>L'appelante conteste la méthode de calcul utilisée par le Tribunal pour la fixation de la contribution d'entretien, ainsi que le montant auquel ce dernier est parvenu. 2.1.1 Même lorsqu'on ne peut plus sérieusement compter sur la reprise de la vie commune, l'art. 163 CC demeure la cause de l'obligation d'entretien réciproque</w:t>
      </w:r>
    </w:p>
    <w:p>
      <w:r>
        <w:t>- 6/12 -</w:t>
      </w:r>
    </w:p>
    <w:p>
      <w:r>
        <w:t>C/26168/2020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(ATF 137 III 385 consid. 3.1 ; arrêt du Tribunal fédéral 5A_864/2018 du 23 mai 2019 consid. 2.1). Dans trois arrêts récents destinés à la publication (5A_311/2019 du 11 novembre 2020;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(cf. arrêt du Tribunal fédéral 5A_311/2019 précité consid. 7). Appartiennent typiquement au minimum vital du droit de la famille les impôts, les frais de logement correspondant à la situation réelle plutôt qu’au minimum vital du droit des poursuites, ou encore, dans des circonstances favorables, les primes d’assurance-maladie complémentaire (arrêt du Tribunal fédéral 5A_311/2019 du 11 novembre 2020 consid. 7.2 et les références citées). Un éventuel excédent est en règle générale réparti, en l’absence d’enfants (cf. arrêt du Tribunal fédéral 5A_311/2019 du 11 novembre 2020 consid. 7.3), par moitié entre les époux (ATF 121 I 97 consid. 3b ; ATF 114 II 26 consid. 7 ; arrêt du Tribunal fédéral 5A_787/2016 du 12 janvier 2017 consid. 4.2.1), à moins que des circonstances importantes ne justifient de s’en écarter (ATF 119 II 314 consid. 4b/bb ; arrêt du Tribunal fédéral 5A_1029/2015 du 1er juin 2016 consid. 3.3.1.2). 2.1.2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une mère et son enfant majeur ne peut pas être comparée à une communauté domestique durable analogue au mariage ou au partenariat enregistré (cf. sur ces questions ATF 144 III 502 consid. 6.6; 132 III 483 consid. 4.2, 4.3 et 5 in JdT 2007 II 78, pp. 79 à 81).</w:t>
      </w:r>
    </w:p>
    <w:p>
      <w:r>
        <w:t>- 7/12 -</w:t>
      </w:r>
    </w:p>
    <w:p>
      <w:r>
        <w:t>C/26168/2020 2.2.1 En l'espèce, le montant retenu par le premier juge au titre de revenus de l'appelante, en 4'223 fr. par mois, n'est à juste titre pas contesté et sera confirmé. Concernant les charges de l'épouse, le Tribunal a considéré que les deux enfants aînés devaient participer aux coûts du logement qu'ils partageaient avec leur mère, dès lors qu'ils travaillaient tous les deux et disposaient de la capacité économique pour assumer chacun à tout le moins 15 % du loyer, qui ne s'élevait qu'à 1'244 fr. par mois, soit 186 fr. 60 par mois et par enfant, et ce indépendamment du fait de savoir s'ils s'acquittaient effectivement de cette charge ou non (cf. supra 2.1.2). Ce raisonnement n'est pas critiquable, de sorte que la charge de loyer de l'appelante, admise à hauteur de 870 fr. 80 par mois, sera confirmée. Dès lors que la communauté de vie formée par une mère et son/ses enfant(s) majeur(s) ne peut pas être comparée à une communauté domestique durable analogue au mariage ou au partenariat enregistré, il n'y a pas lieu de réduire le minimum vital de l'appelante, lequel sera arrêté à 1'200 fr. par mois (cf. normes d'insaisissabilité – RS/GE E 3 60.04, chiffre I). La prime d'assurance-maladie de l'appelante, en 506 fr. 75 par mois, et ses frais de transport en 70 fr. par mois, non contestés, sont également inclus dans les charges. L'appelante conteste la prise en compte, pour elle et son époux, de toute autre charge élargie de droit de la famille, au motif que les parties auraient convenu devant le Tribunal de ne s'en tenir qu'aux charges incompressibles et de répartir l'excédent par moitié. L'existence d'un tel accord ne résulte toutefois pas du dossier, en particulier des procès-verbaux d'audience, lesquels ne font qu'énoncer les charges alléguées par les parties (directement ou par renvoi à des récapitulatifs). Par ailleurs, la situation financière des parties justifie de tenir compte des charges élargies du droit de la famille. Peuvent, partant, être comptabilisés dans les charges de l'appelante les frais médicaux non couverts en 93 fr. 35 par mois, dont le paiement effectif a été rendu vraisemblable. La nécessité d'un véhicule à des fins professionnelles n'ayant, quant à elle, pas été rendue vraisemblable, c'est à juste titre que les frais liés au leasing n'ont pas été admis. Il ne sera pas non plus tenu compte des frais de parking en 65 fr. par mois, dès lors que l'appelante peut vraisemblablement sous-louer sa place de stationnement. Il sera en outre tenu compte, comme pour l'époux, de la charge liée au remboursement du crédit personnel contracté par l'épouse pour financier l'achat, durant la vie commune, du bien immobilier sis au Portugal, copropriété des époux, dont il n'a pas été rendu vraisemblable qu'il aurait été vendu, soit 338 fr. 70 par mois.</w:t>
      </w:r>
    </w:p>
    <w:p>
      <w:r>
        <w:t>- 8/12 -</w:t>
      </w:r>
    </w:p>
    <w:p>
      <w:r>
        <w:t>C/26168/2020 Les charges totales de l'épouse se montent ainsi à 3'079 fr. 60 par mois avant impôts. 2.2.2 Les revenus de l'intimé s'élèvent à 7'900 fr. 55 par mois, treizième salaire compris. Son budget mensuel se compose de son minimum vital en 1'200 fr., du loyer en 1'040 fr. et de la prime d'assurance-maladie LAMal en 506 fr. 75, postes retenus par le premier juge et non contestés en appel. Vu la situation financière des parties, il convient d'y ajouter les frais médicaux non couverts en 119 fr. par mois, dont le montant et le paiement effectif ont été rendus vraisemblables. Déjà inclus dans le minimum vital du droit des poursuites, les frais professionnels et de repas ne seront, quant à eux, pas comptabilisés (arrêts du Tribunal fédéral 5A_311/2019 précité consid. 7.2 ; 5A_329/2016 du 6 décembre 2016 consid. 4.1 ; BASTONS BULLETTI, L'entretien après le divorce : Méthodes de calcul, montant, durée et limites, in SJ 2007 II 77, p. 84 s. et 101 s.). Compte tenu de l'activité professionnelle de l'intimé, qui est tenu de travailler de nuit, il sera tenu compte des frais liés à l'usage de son véhicule privé, à savoir 175 fr. pour la place de stationnement, 87 fr. pour la prime d'assurance et 26 fr. 60 pour les impôts, dont les montants et le paiement ont également été rendus vraisemblables. Dans la mesure où les moyens financiers de la famille le permettent et à l'instar de ce qui a été retenu pour l'épouse, il n'est pas critiquable de tenir compte de la charge liée au remboursement du crédit personnel contracté par l'époux pour l'achat d'un bien immobilier au Portugal (777 fr. 40 par mois), ainsi que de l'assurance-vie souscrite en lien avec ce bien dont la prime mensuelle se monte à 127 fr. 40 par mois. Pour ce qui est de la charge hypothécaire, il n'y a pas lieu de tenir compte de l'amortissement de la dette, dès lors qu'elle ne sert pas à l'entretien mais à la constitution du patrimoine (ATF 127 III 289 consid. 2a/bb ; arrêt du Tribunal fédéral 5A_687/2011 du 17 avril 2012 consid. 6.2). La Chambre de céans considère que les pièces fournies par l'intimé rendent vraisemblable le paiement d'intérêts à hauteur de 210 euros par mois (soit "le coût" du prêt, en 50'000 euros, divisé par 240 mois). A ceux-ci, peuvent ensuite s'ajouter les 100 euros de charges de l'immeuble alléguées, qui ont été rendues vraisemblables, soit un montant total de 220 euros, à savoir environ 335 fr. si on les convertit au taux actuel de 1,08. Les charges totales de l'époux se montent ainsi à 4'394 fr. 15 par mois avant impôts.</w:t>
      </w:r>
    </w:p>
    <w:p>
      <w:r>
        <w:t>- 9/12 -</w:t>
      </w:r>
    </w:p>
    <w:p>
      <w:r>
        <w:t>C/26168/2020 2.2.3 En tenant compte de leurs impôts respectifs, hors contribution d'entretien, qui peuvent être estimés au moyen de la calculette disponible sur le site Internet de l'Administration fiscale genevoise (sur la base de leur commune de taxation, de leur statut de conjoint séparé, de leurs revenus respectifs, de leurs primes d'assurance-maladie ainsi que de leurs frais médicaux encourus), la charge fiscale de l'épouse serait de 483 fr. 75 par mois. Son solde disponible mensuel serait donc de 659 fr. 65 (4'223 fr. de revenus – 3'079 fr. 60 de charges – 483 fr. 75 d'impôts). La charge fiscale de l'époux étant estimée à 1'643 fr. 60 par mois, l'intimé bénéficierait ainsi d'un solde disponible mensuel de 1'862 fr. 80 (7'900 fr. 55 de revenus – 4'394 fr. 15 de charges – 1'643 fr. 60 d'impôts). En partageant l'excédent familial, l'épouse devrait donc bénéficier d'une contribution d'entretien d'environ 600 fr. par mois. Le versement de cette pension entraînerait toutefois une augmentation de la charge fiscale de l'appelante d'environ 175 fr. par mois et une diminution de celle de l'époux d'environ 210 fr. par mois, ce qui modifierait le disponible de la famille et, par voie de conséquence, le montant finalement à partager entre les époux. Il s'ensuit qu'afin que les époux bénéficient d'un solde disponible équivalent après paiement de leurs charges fiscales respectives, la contribution d'entretien doit être fixée à 850 fr. par mois (calcul pour l'épouse : 4'223 fr. de revenus + 850 fr. de pension – 3'079 fr. 60 de charges – 736 fr. d'impôts = 1'257 fr. de solde disponible ; calcul pour l'époux : 7'900 fr. 55 de revenus – 850 fr. de pension – 4'394 fr. 15 de charges – 1'348 fr. 65 d'impôts = 1'307 fr. 75 de solde disponible). C'est par conséquent au paiement de ce montant que l'époux sera condamné à compter du 1er juillet 2021, étant précisé que, compte tenu des maximes applicables en l'absence d'enfants mineurs, il ne peut être revenu sur la pension de 1'100 fr. par mois que l'époux s'est engagé à verser à l'épouse du 3 novembre 2020 au 30 juin 2021. 2.2.4 Il résulte de ce qui précède que le chiffre 3 du dispositif du jugement querellé sera modifié dans le sens qui précède.</w:t>
      </w:r>
    </w:p>
    <w:p>
      <w:r>
        <w:rPr>
          <w:b/>
        </w:rPr>
        <w:t>E. 3.1</w:t>
      </w:r>
    </w:p>
    <w:p>
      <w:r>
        <w:t>Lorsque l'instance d'appel réforme en tout ou en partie le jugement entrepris, elle se prononce aussi sur les frais de première instance (art. 318 al. 3 CPC).</w:t>
      </w:r>
    </w:p>
    <w:p>
      <w:r>
        <w:t>Dès lors que ni la quotité ni la répartition des frais judiciaires et des dépens de première instance n'ont été critiquées en appel et que celles-ci ont été arrêtées conformément aux règles légales applicables (art. 95, 96, 104 al. 1, 107 al. 1 let. c CPC ; art. 5 et 31 RTFMC), le jugement entrepris sera confirmé sur ces points.</w:t>
      </w:r>
    </w:p>
    <w:p>
      <w:r>
        <w:rPr>
          <w:b/>
        </w:rPr>
        <w:t>E. 3.2</w:t>
      </w:r>
    </w:p>
    <w:p>
      <w:r>
        <w:t>Les frais judiciaires d'appel, fixés à 800 fr. (art. 30 et 35 RTFMC), seront mis à la charge des parties pour moitié chacune, compte tenu de la nature familiale du</w:t>
      </w:r>
    </w:p>
    <w:p>
      <w:r>
        <w:t>- 10/12 -</w:t>
      </w:r>
    </w:p>
    <w:p>
      <w:r>
        <w:t>C/26168/2020 litige (art. 104 al. 1, 105, 107 al. 1 let. c CPC). Dès lors que l'appelante plaide au bénéfice de l'assistance judiciaire, sa part en 400 fr. sera provisoirement laissée à la charge de l'Etat, qui pourra en demander le remboursement ultérieurement. L'intimé sera, quant à lui, condamné à verser 400 fr. à l'Etat de Genève, soit pour lui les Services financiers du Pouvoir judiciaire. Pour les mêmes motifs, chaque partie conservera à sa charge ses propres dépens d'appel (art. 95 al. 1 let. b et al. 3, 104 al. 1, 105 al. 2 et 107 al. 1 let. c CPC). * * * * *</w:t>
      </w:r>
    </w:p>
    <w:p>
      <w:r>
        <w:t>- 11/12 -</w:t>
      </w:r>
    </w:p>
    <w:p>
      <w:r>
        <w:t>C/26168/2020 PAR CES MOTIFS, La Chambre civile : A la forme : Déclare recevable l'appel interjeté le 22 mars 2021 par A______ contre le jugement JTPI/2962/2021 rendu le 9 mars 2021 par le Tribunal de première instance dans la cause C/26168/2020. Au fond : Annule le chiffre 3 du jugement querellé, et statuant à nouveau sur ce point : Donne acte à B______ de ce qu'il s'est engagé à verser à A______ un montant de 1'100 fr. par mois du 3 novembre 2020 au 30 juin 2021, à titre de contribution d'entretien. Condamne B______ à verser à A______ un montant de 850 fr. par mois à compter du 1er juillet 2021, à titre de contribution d'entretien. Confirme le jugement querellé pour le surplus. Déboute les parties de toutes autres conclusions. Sur les frais : Arrête les frais judiciaires d'appel à 800 fr. et les met à la charge de chacune des parties par moitié. Laisse provisoirement la part des frais de A______, soit 400 fr., à la charge de l'Etat de Genève. Condamne B______ à verser 400 fr. à l'Etat de Genève, soit pour lui les Services financiers du Pouvoir judiciaire, au titre de frais judiciaires d'appel. Dit que chaque partie supporte ses propres dépens d'appel. Siégeant : Madame Jocelyne DEVILLE-CHAVANNE, présidente ; Madame Verena PEDRAZZINI RIZZI, Madame Nathalie LANDRY-BARTHE, juges ; Madame Sophie MARTINEZ, greffière.</w:t>
      </w:r>
    </w:p>
    <w:p>
      <w:r>
        <w:t>Indication des voies de recours :</w:t>
      </w:r>
    </w:p>
    <w:p>
      <w:r>
        <w:t>- 12/12 -</w:t>
      </w:r>
    </w:p>
    <w:p>
      <w:r>
        <w:t>C/26168/2020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