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ACJC/1087/2020 vom 4. August 2020</w:t>
      </w:r>
    </w:p>
    <w:p>
      <w:r>
        <w:t>GE Cour de justice, 2020-08-04, FR</w:t>
      </w:r>
    </w:p>
    <w:p>
      <w:r>
        <w:rPr>
          <w:b/>
        </w:rPr>
        <w:t xml:space="preserve">Quelle: </w:t>
      </w:r>
      <w:r>
        <w:t>https://mcp.opencaselaw.ch/entscheid/ge_gerichte_ACJC_1087_2020</w:t>
      </w:r>
    </w:p>
    <w:p>
      <w:r>
        <w:t>FR: GE_GERICHTE ACJC/1087/2020 du 4 août 2020</w:t>
      </w:r>
    </w:p>
    <w:p>
      <w:r>
        <w:t>IT: GE_GERICHTE ACJC/1087/2020 del 4 agosto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06.08.2020.</w:t>
      </w:r>
    </w:p>
    <w:p>
      <w:r>
        <w:t>République et canton de Genève POUVOIR JUDICIAIRE Cour de justice civile Chambre civile</w:t>
      </w:r>
    </w:p>
    <w:p>
      <w:r>
        <w:t>Recourante : Intimée : A______ SÀRL c/o Me CRISANTE Marco Rue du Conseil-Général 18 1205 Genève</w:t>
      </w:r>
    </w:p>
    <w:p>
      <w:r>
        <w:t>B______ [caisse de compensation] ______ ______ ______</w:t>
      </w:r>
    </w:p>
    <w:p>
      <w:r>
        <w:t>C/28396/2019 ACJC/1087/2020 DU MARDI 4 AOUT 2020 Vu le jugement JTPI/7005/2020 du 8 juin 2020 prononçant la faillite de A______ SÀRL (ch. 1 du jugement); Vu le recours contre ledit jugement formé le 22 juin 2020 par A______ SÀRL, dans le délai et la forme prescrits par l'art. 321 al. 1 et 2 CPC; Attendu que le 17 juillet 2020, la CAISSE [de compensation] B______ a acquiescé au recours;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241, 309 let. b ch. 7 et 319 ss CPC. PAR CES MOTIFS, La Chambre civile : Annule le chiffre 1 du dispositif du jugement de faillite N° JTPI/7005/2020 rendu par le Tribunal de première instance le 8 juin 2020 dans la cause C/28396/2019-5 SFC (sans poursuite préalable). Confirme le jugement pour le surplus. Condamne la partie recourante aux frais du recours, taxés à 750 fr., et dit qu'ils sont compensés par l'avance de frais de même montant fournie par elle, qui reste acquise à l'Etat de Genève. Siégeant : Monsieur Ivo BUETTI, président ad interim; Madame Sylvie DROIN et Madame Pauline ERARD,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