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ACJC/1084/2024 vom 10. September 2024</w:t>
      </w:r>
    </w:p>
    <w:p>
      <w:r>
        <w:t>GE Cour de justice, 2024-09-10, FR</w:t>
      </w:r>
    </w:p>
    <w:p>
      <w:r>
        <w:rPr>
          <w:b/>
        </w:rPr>
        <w:t xml:space="preserve">Quelle: </w:t>
      </w:r>
      <w:r>
        <w:t>https://mcp.opencaselaw.ch/entscheid/ge_gerichte_ACJC_1084_2024</w:t>
      </w:r>
    </w:p>
    <w:p>
      <w:r>
        <w:t>FR: GE_GERICHTE ACJC/1084/2024 du 10 septembre 2024</w:t>
      </w:r>
    </w:p>
    <w:p>
      <w:r>
        <w:t>IT: GE_GERICHTE ACJC/1084/2024 del 10 settembre 2024</w:t>
      </w:r>
    </w:p>
    <w:p>
      <w:pPr>
        <w:pStyle w:val="Heading2"/>
      </w:pPr>
      <w:r>
        <w:t>Erwägungen</w:t>
      </w:r>
    </w:p>
    <w:p>
      <w:r>
        <w:rPr>
          <w:b/>
        </w:rPr>
        <w:t>E. 1.1</w:t>
      </w:r>
    </w:p>
    <w:p>
      <w:r>
        <w:t>L'appel est recevable contre les décisions finales de première instance ou rendues sur mesures provisionnelles (art. 308 al. 1 CPC), dans les causes patrimoniales dont la valeur litigieuse, au dernier état des conclusions de première instance, est supérieure à 10'000 fr. (art. 308 al. 2 CPC).</w:t>
      </w:r>
    </w:p>
    <w:p>
      <w:r>
        <w:t>En l'espèce, au vu du montant estimé des avoirs détenus et bloqués auprès de la banque genevoise, la valeur litigieuse est supérieure à 10'000 fr., de sorte que la voie de l'appel est ouverte.</w:t>
      </w:r>
    </w:p>
    <w:p>
      <w:r>
        <w:t>- 6/17 -</w:t>
      </w:r>
    </w:p>
    <w:p>
      <w:r>
        <w:t>C/21253/2023</w:t>
      </w:r>
    </w:p>
    <w:p>
      <w:r>
        <w:rPr>
          <w:b/>
        </w:rPr>
        <w:t>E. 1.2</w:t>
      </w:r>
    </w:p>
    <w:p>
      <w:r>
        <w:t>L'irrecevabilité de l'appel a été soulevée par l'intimée en raison de l'absence de conclusion formelle et précise en annulation ou en réformation et d'un manque de motivation.</w:t>
      </w:r>
    </w:p>
    <w:p>
      <w:r>
        <w:rPr>
          <w:b/>
        </w:rPr>
        <w:t>E. 1.2.1</w:t>
      </w:r>
    </w:p>
    <w:p>
      <w:r>
        <w:t>L’appel doit être écrit et motivé (art. 311 al. 1 CPC) et introduit auprès de l’instance d’appel dans les 10 jours à compter de la notification de la décision motivée lorsque, comme en l'espèce, la procédure sommaire est applicable (314; 248 let. d et 268 CPC). A teneur de l'art. 311 al. 1 CPC, il incombe à la partie appelante de motiver son appel, c'est-à-dire de démontrer le caractère erroné de la motivation attaquée (ATF 138 III 374 consid. 4.3.1). Pour satisfaire à cette exigence, il ne lui suffit pas de renvoyer aux moyens soulevés en première instance, ni de se livrer à des critiques toute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L'appel doit également énoncer des conclusions, sous peine d'irrecevabilité (ATF 137 III 617 consid. 4.2.2). Les conclusions doivent pouvoir être reprises telles quelles dans le dispositif, respectivement doivent pouvoir être exécutées sans qu'une clarification soit nécessaire. Des conclusions pécuniaires doivent être chiffrées (ATF 137 III 617 consid. 4.3). En règle générale, il ne contrevient pas au principe de l'interdiction du déni de justice formel d'exiger que l'acte d'appel contienne des conclusions précises sur le fond du litige. L'autorité d'appel n'est pas tenue de renvoyer l'appel pour amélioration si les conclusions ou la motivation sont insuffisantes (arrêts du Tribunal fédéral 4A_207/2022 du 17 octobre 2022 consid. 3.3.1). L'application du principe de la confiance impose toutefois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(arrêts du Tribunal fédéral 5A_496/2020 du 23 octobre 2020 consid. 1.3; 5A_1023/2018 du 8 juillet 2019 consid. 1.2 et la référence).</w:t>
      </w:r>
    </w:p>
    <w:p>
      <w:r>
        <w:rPr>
          <w:b/>
        </w:rPr>
        <w:t>E. 1.2.2</w:t>
      </w:r>
    </w:p>
    <w:p>
      <w:r>
        <w:t>En l'espèce, l'appelant n'a certes pas formellement conclu à l'annulation ou à la réforme de l'ordonnance attaquée. Il a cependant pris des conclusions au fond tendant à faire constater la caducité des mesures provisionnelles prononcées le</w:t>
      </w:r>
    </w:p>
    <w:p>
      <w:r>
        <w:t>- 7/17 -</w:t>
      </w:r>
    </w:p>
    <w:p>
      <w:r>
        <w:t>C/21253/2023 16 août 2023 et à la levée de la saisie conservatoire portant sur les avoirs déposés en mains de la banque C______. Ses conclusions sont suffisamment claires pour permettre de comprendre dans quel sens l'ordonnance attaquée devrait être réformée. Par ailleurs, le dispositif entrepris se limite à rejeter la demande initiale en caducité des mesures provisionnelles litigieuses, de sorte qu'en contestant celle-ci et en formulant ses conclusions au fond telles qu'il les avait prises, l'appelant ne pouvait que conclure, implicitement, à l'annulation de l'ordonnance litigieuse, ce qui ressort du reste de la motivation de son appel. Sur ce dernier point, contrairement à ce que prétend l'intimée, la motivation du mémoire d'appel satisfait aux exigences légales. En effet, l'appelant énonce sous différents chapitres les griefs qu'il soulève à l'encontre du raisonnement du premier juge, - soit l'absence de validation des mesures provisionnelles, en suisse ou à l'étranger, et l'interdiction du séquestre déguisé -, puis les développe en citant précisément les passages de la décision qu'il juge erronés. L'appel, interjeté au surplus en temps utile, est dès lors recevable.</w:t>
      </w:r>
    </w:p>
    <w:p>
      <w:r>
        <w:rPr>
          <w:b/>
        </w:rPr>
        <w:t>E. 1.3</w:t>
      </w:r>
    </w:p>
    <w:p>
      <w:r>
        <w:t>L'appelant produit deux pièces en appel, dont la recevabilité est contestée.</w:t>
      </w:r>
    </w:p>
    <w:p>
      <w:r>
        <w:rPr>
          <w:b/>
        </w:rPr>
        <w:t>E. 1.3.1</w:t>
      </w:r>
    </w:p>
    <w:p>
      <w:r>
        <w:t>Aux termes de l'art. 317 al. 1 CPC, les faits et moyens de preuve nouveaux sont admissibles en appel pour autant qu'ils soient invoqués ou produits sans retard (let. a) et avec la diligence requise (let. b).</w:t>
      </w:r>
    </w:p>
    <w:p>
      <w:r>
        <w:t>Cependant, les faits qui sont immédiatement connus du Tribunal ("gerichtsnotorische Tatsachen"), notamment parce qu'ils ressortent d'une autre procédure entre les mêmes parties, constituent des faits notoires qui n'ont pas à être allégués ni prouvés (art. 151 CPC; ATF 143 II 224 consid. 5.1; arrêt du Tribunal fédéral 5A_252/2021 du 8 novembre 2021 consid. 2.3).</w:t>
      </w:r>
    </w:p>
    <w:p>
      <w:r>
        <w:rPr>
          <w:b/>
        </w:rPr>
        <w:t>E. 1.3.2</w:t>
      </w:r>
    </w:p>
    <w:p>
      <w:r>
        <w:t>En l'espèce, les pièces produites par l'appelant concernent des procédures ayant opposé les mêmes parties, de sorte qu'elles constituent des faits notoires recevables.</w:t>
      </w:r>
    </w:p>
    <w:p>
      <w:r>
        <w:rPr>
          <w:b/>
        </w:rPr>
        <w:t>E. 1.4</w:t>
      </w:r>
    </w:p>
    <w:p>
      <w:r>
        <w:t>La Cour revoit la cause avec un plein pouvoir d'examen (art. 310 CPC). Les mesures provisionnelles étant soumises à la procédure sommaire (art. 248 let. d CPC), la cognition du juge est limitée à la simple vraisemblance des faits et à un examen sommaire du droit (ATF 131 III 473 consid. 2.3; 127 III 474 consid. 2b/bb; arrêt du Tribunal fédéral 5A_293/2019 du 29 août 2019 consid. 4.2).</w:t>
      </w:r>
    </w:p>
    <w:p>
      <w:r>
        <w:rPr>
          <w:b/>
        </w:rPr>
        <w:t>E. 2</w:t>
      </w:r>
    </w:p>
    <w:p>
      <w:r>
        <w:t>août 2023 par la Superior Court of Justice "apparaît prima facie susceptible d'être reconnue et déclarée exécutoire en Suisse" ne signifie pas qu'il statuait en tant que juge de l'exécution dans le cadre d'une procédure en exéquatur, mais tendait uniquement à asseoir la vraisemblance de la prétention émise, qui constitue une condition des art. 261 ss CPC. D'autre part, la conclusion à laquelle parvient l'appelant est également erronée. Si, comme il le prétend, les mesures provisionnelles du 16 août 2023 constituaient des mesures conservatoires au sens de l'art. 340 CPC, elles seraient applicables sans qu'il ne soit nécessaire de requérir aucune action en validation. Par conséquent, elles ne pourraient devenir caduques faute de validation, comme il le soutient. A bien comprendre son argument, l'intimée avait requis et obtenu des mesures conservatoires, sans que la procédure d'exequatur se poursuive, et elle devrait en conséquence les "valider" par le dépôt d'une nouvelle requête en exéquatur. Or, seul le Tribunal saisi d'une requête est habilité à prendre des mesures provisoires au sens de l'art. 340 CPC. Dès lors, on ne saurait conclure que le Tribunal a rejeté l'existence d'une requête en exéquatur tout en prononçant des mesures conservatoires selon l'art. 340 CPC. Infondé, ce grief sera rejeté.</w:t>
      </w:r>
    </w:p>
    <w:p>
      <w:r>
        <w:rPr>
          <w:b/>
        </w:rPr>
        <w:t>E. 2.2</w:t>
      </w:r>
    </w:p>
    <w:p>
      <w:r>
        <w:t>En l'espèce, il n'est pas contesté qu'il existe deux voies pour obtenir des mesures provisionnelles en Suisse aux fins d'assurer l'exécution d'une décision étrangère; la première étant le prononcé de mesures conservatoires au sens de l'art. 340 CPC dans le cadre d'une procédure en exequatur de la décision étrangère et la seconde le prononcé de mesures provisionnelles indépendantes selon les art. 261 ss CPC par le juge ordinaire.</w:t>
      </w:r>
    </w:p>
    <w:p>
      <w:r>
        <w:rPr>
          <w:b/>
        </w:rPr>
        <w:t>E. 2.2.1</w:t>
      </w:r>
    </w:p>
    <w:p>
      <w:r>
        <w:t>Dans un premier grief, l'appelant reproche au Tribunal d'avoir considéré que les mesures provisionnelles litigieuses prononcées le 16 août 2023 constituaient des mesures provisionnelles indépendantes en application des art. 261 ss CPC. Il soutient que l'intimée avait sollicité des mesures conservatoires dans l'attente de la procédure en exequatur de la décision étrangère au sens de l'art. 340 CPC, ne pouvant être validées que par une action au fond introduite en Suisse. Ce raisonnement ne peut être suivi. D'une part, l'appelant part d'une prémisse erronée. En effet, bien que le titre ("requête en exequatur avec requête de mesures conservatoires urgentes") de la requête initiale de l'intimée puisse porter à confusion, les conclusions prises dans</w:t>
      </w:r>
    </w:p>
    <w:p>
      <w:r>
        <w:t>- 10/17 -</w:t>
      </w:r>
    </w:p>
    <w:p>
      <w:r>
        <w:t>C/21253/2023 ce cadre, en particulier l'absence de conclusion en exequatur sur mesures provisionnelles et de conclusion au fond, ainsi que la motivation de la requête et les articles de loi invoqués (art. 10 LDIP et 261 ss CPC) démontrent que l'intimée entendait emprunter la deuxième voie relative au prononcé de mesures provisionnelles au sens des art. 261 ss CPC. Quoi qu'il en soit, dans son ordonnance du 16 août 2023, le Tribunal, appliquant le droit d'office selon l'adage "jura novit curia", a clairement reconnu sa compétence sur la base de l'art. 10 let. b LDIP et prononcé les mesures litigieuses en application des art. 261 ss CPC, citant expressément ces dispositions légales, et excluant l'existence d'une procédure d'exéquatur sur mesures provisionnelles. Contrairement à ce que prétend l'appelant, le fait que le Tribunal ait retenu que la décision rendue le</w:t>
      </w:r>
    </w:p>
    <w:p>
      <w:r>
        <w:rPr>
          <w:b/>
        </w:rPr>
        <w:t>E. 2.2.2</w:t>
      </w:r>
    </w:p>
    <w:p>
      <w:r>
        <w:t>Dans un second grief, subsidiaire, l'appelant soutient que l'intimée n'avait pas valablement validé les mesures provisionnelles litigieuses, sa requête du 15 septembre 2023 introduite par-devant les autorités canadiennes n'étant qu'une reformulation de ses précédentes demandes, insuffisante.</w:t>
      </w:r>
    </w:p>
    <w:p>
      <w:r>
        <w:t>A titre liminaire, il sied de relever que l'action au fond en validation des mesures provisionnelles peut être introduite devant un tribunal étranger, ce qui n'est en soi par remis en cause. Contrairement aux décisions précédemment rendues les 9 juin et 2 août 2023 par les autorités canadiennes, la requête formée le 15 septembre par l'intimée, qui</w:t>
      </w:r>
    </w:p>
    <w:p>
      <w:r>
        <w:t>- 11/17 -</w:t>
      </w:r>
    </w:p>
    <w:p>
      <w:r>
        <w:t>C/21253/2023 contient des conclusions au fond, a donné lieu à une décision finale ("Final Order") qui condamne l'appelant à transférer les fonds détenus et bloqués auprès de la banque C______. Cette décision du 23 octobre 2023 rappelle expressément qu'elle est rendue en validation des mesures provisionnelles obtenues en Suisse afin d'obtenir le paiement et le transfert des avoirs de l'appelant bloqués chez C______, conformément à l'ordonnance genevoise du 16 août 2023, et précise que ce paiement sera pris en compte dans la liquidation du régime. A cet égard, il n'est pas contesté que les parties s'opposent actuellement dans le cadre d'une procédure en divorce devant les instances canadiennes dans le cadre de laquelle l'intimée a fait valoir des prétentions relatives à la liquidation du régime matrimonial. Partant, la requête du 15 septembre 2023 et l'ordonnance du 23 octobre 2023 doivent être lues en relation avec la demande en divorce pendante à l'étranger, qui ensemble servent de fondement aux mesures provisionnelles requises en Suisse. Dans la mesure où la procédure en divorce était déjà pendante, on ne voit d'ailleurs pas quelle autre démarche au fond l'intimée aurait pu entreprendre pour valider les mesures provisionnelles du 16 août 2023, l'appelant ne l'explique du reste pas. Il s'ensuit que c'est à bon droit que le Tribunal a considéré que l'intimée avait valablement validé les mesures provisionnelles obtenues en Suisse. Ce grief sera, par conséquent, rejeté également.</w:t>
      </w:r>
    </w:p>
    <w:p>
      <w:r>
        <w:rPr>
          <w:b/>
        </w:rPr>
        <w:t>E. 3</w:t>
      </w:r>
    </w:p>
    <w:p>
      <w:r>
        <w:t>L'appelant soutient que les mesures provisionnelles litigieuses du 16 août 2023 constitueraient un séquestre déguisé prohibé et devraient, pour ce motif également, être annulées.</w:t>
      </w:r>
    </w:p>
    <w:p>
      <w:r>
        <w:rPr>
          <w:b/>
        </w:rPr>
        <w:t>E. 3.1</w:t>
      </w:r>
    </w:p>
    <w:p>
      <w:r>
        <w:t>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3.1.1</w:t>
      </w:r>
    </w:p>
    <w:p>
      <w:r>
        <w:t>L’art. 269 CPC réserve diverses dispositions d’autres lois en matière de mesures provisionnelles, dont celles de la LP concernant les mesures conservatoires lors de l’exécution de recouvrement de créances pécuniaires (let. a). La garantie provisoire de dettes d'argent est ainsi réglée par les art. 271 ss LP relatifs au séquestre et il ne peut être prononcé de mesures provisionnelles pour protéger les créances pécuniaires à titre provisoire (ATF 108 II 180). 86 II 291 consid. 2; 108 II 180 consid. 2; arrêts du Tribunal fédéral 5D_54/2008 du 23 juin 2008 consid. 2.3 et 5A_853/2013 du 23 mai 2014 consid. 2.2.3 et 3.3). Il en va de même de toute mesure analogue au séquestre des art. 271 ss LP destinée à assurer</w:t>
      </w:r>
    </w:p>
    <w:p>
      <w:r>
        <w:t>- 12/17 -</w:t>
      </w:r>
    </w:p>
    <w:p>
      <w:r>
        <w:t>C/21253/2023 le paiement d’une somme d’argent (sur le tout : BOHNET, in Commentaire romand, CPC, 2ème éd. 2019, n. 2-3 ad art. 269 CPC). Ainsi, sous réserve des cas dans lesquels le droit matériel autorise expressément la prestation de sûretés, il ne peut être prononcé de mesures provisionnelles pour protéger les créances pécuniaires à titre provisoire (arrêt du Tribunal fédéral 5A_563/2017 du 26 octobre 2017 consid. 3.3.2 et les références citées).</w:t>
      </w:r>
    </w:p>
    <w:p>
      <w:r>
        <w:rPr>
          <w:b/>
        </w:rPr>
        <w:t>E. 3.1.2</w:t>
      </w:r>
    </w:p>
    <w:p>
      <w:r>
        <w:t>L'art. 178 CC prévoit des restrictions du pouvoir de disposer en matière du droit de la famille. Selon cette disposition, le juge peut, à la requête de l’un des époux et dans la mesure nécessaire pour assurer les conditions matérielles de la famille ou l’exécution d’obligations pécuniaires découlant du mariage, restreindre le pouvoir de l’autre époux de disposer de certains de ses biens sans le consentement de son conjoint (al. 1). A cette fin, le juge ordonne les mesures de sûreté appropriées (art. 178 al. 2 CC). Il peut notamment ordonner le blocage des avoirs bancaires ou ordonner le dépôt, puis le blocage, d'espèces ou d'autres objets de prix auprès des tribunaux ou des banques (arrêts du Tribunal fédéral 5A_866/2016 du 3 avril 2017 consid. 4.1; 5A_852/2010 du 28 mars 2011 consid. 3.2 et les nombreuses références citées). Cette disposition tend à éviter qu'un époux, en procédant à des actes de disposition volontaires, se mette dans l'impossibilité de faire face à ses obligations pécuniaires à l'égard de son conjoint, lesquelles recouvrent notamment le devoir d’entretien (art. 163 et 164 CC) ainsi que les expectatives en matière de liquidation de régime matrimonial (arrêts du Tribunal fédéral 5A_25/2022 du 15 juin 2022 consid. 3.1.1; 5A_593/2017 du 24 novembre 2017 consid. 7.2.1). A cet égard, une restriction du pouvoir de disposer sera souvent requise afin d’éviter qu’un époux procède à des actes de disposition destinés à amoindrir son patrimoine en vue d’une dissolution du mariage (arrêt du Tribunal fédéral 5A_866/2016 du 3 avril 2017 consid. 4.1.1; RIEBEN/CHAIX, in Commentaire romand CC, 2ème éd 2019, n. 2a ad art. 178 CC).</w:t>
      </w:r>
    </w:p>
    <w:p>
      <w:r>
        <w:rPr>
          <w:b/>
        </w:rPr>
        <w:t>E. 3.1.3</w:t>
      </w:r>
    </w:p>
    <w:p>
      <w:r>
        <w:t>Les mesures provisionnelles peuvent être modifiées ou révoquées, s’il s’avère par la suite qu’elles sont injustifiées ou que les circonstances se sont modifiées (art. 268 al. 1 CPC). Les mesures provisionnelles jouissent d’une force de chose jugée limitée (ATF 141 III 376, c. 3.3.4; 127 III 446, c. 3a). En conséquence, elles sont susceptibles d’être modifiées ou révoquées après qu’elles ont été prononcées, en fonction de l’évolution des circonstances (BOVEY/FAVROD-COUNE, in Commentaire romand CPC, 2ème éd. 2019, n. 1 ad art. 268 CC).</w:t>
      </w:r>
    </w:p>
    <w:p>
      <w:r>
        <w:rPr>
          <w:b/>
        </w:rPr>
        <w:t>E. 3.2</w:t>
      </w:r>
    </w:p>
    <w:p>
      <w:r>
        <w:t>En l'espèce, les mesures provisionnelles litigieuses sont définitives et n'ont pas fait l'objet d'un appel. Elles ne peuvent ainsi être modifiées que si l'évolution des</w:t>
      </w:r>
    </w:p>
    <w:p>
      <w:r>
        <w:t>- 13/17 -</w:t>
      </w:r>
    </w:p>
    <w:p>
      <w:r>
        <w:t>C/21253/2023 circonstances le commande. Or, l'appelant n'évoque aucun changement de circonstances et n'explique pas en quoi le blocage du compte serait devenu "par la suite" injustifié. Son grief se base, en effet, sur les faits qui existaient déjà au moment de leur prononcé, de sorte qu'il aurait déjà pu s'en prévaloir en interjetant appel, ce qu'il n'a pas fait. Partant, il ne peut remettre en cause le bien-fondé de la décision du 16 août 2023, les conditions de l'art. 268 al. 1 CPC n'étant pas réalisées. En tout état de cause, le grief de l'appelant s'avère infondé pour les motifs qui suivent. Les mesures provisionnelles litigieuses portent sur le blocage des avoirs en compte de l'appelant et sont destinées à garantir les expectatives financières de l'intimée découlant du divorce, actuellement pendant devant les autorités canadiennes. Elles visent ainsi à assurer la conservation d'un élément de patrimoine, qui est à la fois l'objet de l'obligation et celui du litige, contrairement à un séquestre dont la fonction est de garantir le recouvrement d'une créance pécuniaire en empêchant le débiteur de disposer d'un bien qui n'est pas lui-même l'objet du litige (cf. ATF 108 II 513; 107 III 35). Aussi, le blocage ne sert pas à garantir une somme d'argent déterminée dès lors que le montant exact des avoirs en banque, qui a fait l'objet de plusieurs demande d'informations, demeure inconnu. Cette mesure de blocage est, par ailleurs, expressément prévue par le droit matériel afin de garantir les prétentions issues de la dissolution du régime matrimonial, comme c'est le cas en l'espèce. L'art. 178 CC constitue ainsi une disposition spécifique qui justifie le prononcée des mesures attaquées. Par conséquent, il n'existe, quoi qu'il en soit, aucun séquestre déguisé. L'appel est infondé sur ce point.</w:t>
      </w:r>
    </w:p>
    <w:p>
      <w:r>
        <w:rPr>
          <w:b/>
        </w:rPr>
        <w:t>E. 4</w:t>
      </w:r>
    </w:p>
    <w:p>
      <w:r>
        <w:t>L'appelant soutient que les mesures provisionnelles seraient devenues caduques avec le prononcé du jugement d'exequatur rendu le 16 mai 2024 par le Tribunal, reconnaissant et déclarant exécutoire la décision canadienne du 23 octobre 2023, et sollicite en conséquence la levée de la saisie conservatoire.</w:t>
      </w:r>
    </w:p>
    <w:p>
      <w:r>
        <w:rPr>
          <w:b/>
        </w:rPr>
        <w:t>E. 4.1</w:t>
      </w:r>
    </w:p>
    <w:p>
      <w:r>
        <w:t>A teneur de l'art. 268 al. 2 CPC, l’entrée en force de la décision sur le fond entraîne la caducité des mesures provisionnelles. Le tribunal peut ordonner leur maintien, s’il sert l’exécution de la décision ou si la loi le prévoit.</w:t>
      </w:r>
    </w:p>
    <w:p>
      <w:r>
        <w:rPr>
          <w:b/>
        </w:rPr>
        <w:t>E. 4.1.1</w:t>
      </w:r>
    </w:p>
    <w:p>
      <w:r>
        <w:t>Une décision reconnue selon les art. 25-27 LDIP est déclarée exécutoire à la demande de la partie intéressée (art. 28 LDIP). Cette disposition ne porte pas sur l'ensemble de l'exécution, mais uniquement sur la déclaration d'exequatur du</w:t>
      </w:r>
    </w:p>
    <w:p>
      <w:r>
        <w:t>- 14/17 -</w:t>
      </w:r>
    </w:p>
    <w:p>
      <w:r>
        <w:t>C/21253/2023 jugement étranger, c'est-à-dire sur la création des conditions qui doivent être remplies pour qu'une procédure de contrainte puisse être mise en route. L'exécution elle-même est régie par le droit suisse. Si la décision porte sur le paiement d'une somme d'argent ou sur la fourniture de sûretés, elle est exécutée conformément aux dispositions de la LP (art. 335 al. 2 CPC) ; l'exécution d'autres décisions est régie par les art. 335 ss CPC (arrêt du Tribunal fédéral 5A_880/2015 du 3 juin 2017 consid. 2 et les références citées).</w:t>
      </w:r>
    </w:p>
    <w:p>
      <w:r>
        <w:rPr>
          <w:b/>
        </w:rPr>
        <w:t>E. 4.1.2</w:t>
      </w:r>
    </w:p>
    <w:p>
      <w:r>
        <w:t>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"manifeste" utilisé dans le texte légal (ATF 143 III 279 consid. 3.1; 135 III 162 consid. 3.3.1; arrêt du Tribunal fédéral 4A_552/2020 du 12 mars 2021 consid. 3.2).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La prétention de cette partie ne mérite alors pas la protection du droit (arrêt du Tribunal fédéral 4A_590/2016 du 26 janvier 2017 consid. 2.1).</w:t>
      </w:r>
    </w:p>
    <w:p>
      <w:r>
        <w:rPr>
          <w:b/>
        </w:rPr>
        <w:t>E. 4.2</w:t>
      </w:r>
    </w:p>
    <w:p>
      <w:r>
        <w:t>En l'espèce, il n'est pas contesté que la décision canadienne du 23 octobre 2023 et le jugement de reconnaissance de cette décision rendu par le Tribunal le 16 mai 2024 sont définitifs et entrés en force, faute d'avoir fait l'objet d'un recours. Il ressort sans ambiguïté de la décision canadienne que l'appelant est tenu de verser à son épouse les avoirs détenus à son nom et bloqués sur le compte C______ et que ces avoirs ne peuvent être débloqués qu'à cette seule et unique fin. Le jugement d'exequatur du 16 mai 2024 statue uniquement sur la reconnaissance de ce jugement étranger et son caractère exécutoire, en admettant en l'occurrence que les conditions sont remplies pour qu'une procédure en exécution puisse être entreprise. Par son argument, l'appelant tente de se prévaloir de la caducité des mesures provisionnelles de par l'entrée en force du jugement au fond étranger pour obtenir la levée de la saisie conservatoire et pouvoir disposer des avoirs bloqués avant que la procédure d'exécution soit effectuée. Il paraît cependant vraisemblable que l'appelant tente de soustraire les avoirs bloqués qui doivent revenir à son épouse, en cas d'admission de sa requête. Il sied de rappeler que la mesure de blocage a été ordonnée précisément en raison du fait</w:t>
      </w:r>
    </w:p>
    <w:p>
      <w:r>
        <w:t>- 15/17 -</w:t>
      </w:r>
    </w:p>
    <w:p>
      <w:r>
        <w:t>C/21253/2023 que l'appelant a, une première fois, vraisemblablement tenté de dissimuler les avoirs du couple en les transférant sur le compte en Suisse. De plus, malgré les injonctions faites à ce dernier, à plusieurs reprises, par les autorités canadiennes de transférer les avoirs bloqués en faveur de son épouse, contre lesquelles il n'a au demeurant pas recouru, celui-ci ne s'est pas exécuté et cherche à retrouver la disposition desdits avoirs. En définitive, le moyen de l'appelant tend vraisemblablement à regagner des avoirs destinés à son épouse et à enfreindre le jugement étranger, reconnu et déclarée exécutoire en Suisse dans son intégralité, selon lequel lesdits avoirs ne peuvent être débloqués qu'en faveur de l'intimée. Ce faisant, il utilise les dispositions de la loi relatives aux mesures provisionnelles à des fins opposées à leur vocation, dont les conséquences seraient de nature à créer une injustice manifeste. Dans ces conditions, la requête de l'appelant constitue un abus de droit qui ne saurait être protégé. Son grief sera dès lors rejeté.</w:t>
      </w:r>
    </w:p>
    <w:p>
      <w:r>
        <w:rPr>
          <w:b/>
        </w:rPr>
        <w:t>E. 5</w:t>
      </w:r>
    </w:p>
    <w:p>
      <w:r>
        <w:t>Au vu de ce qui précède, l'ordonnance attaquée sera confirmée.</w:t>
      </w:r>
    </w:p>
    <w:p>
      <w:r>
        <w:rPr>
          <w:b/>
        </w:rPr>
        <w:t>E. 6</w:t>
      </w:r>
    </w:p>
    <w:p>
      <w:r>
        <w:t>La présente décision sera notifiée aux parties à la procédure, ainsi qu'à la banque C______, qui, en tant que banque dépositaire, doit être informée de l'issue du litige (art. 240 CPC).</w:t>
      </w:r>
    </w:p>
    <w:p>
      <w:r>
        <w:rPr>
          <w:b/>
        </w:rPr>
        <w:t>E. 7</w:t>
      </w:r>
    </w:p>
    <w:p>
      <w:r>
        <w:t>L'appelant, qui succombe, sera condamné aux frais judicaires d'appel (art. 106 al. 1 CPC), arrêtés à 4'000 fr. (art. 26 et 35 RTFMC) et partiellement compensés avec l'avance fournie à hauteur de 2'000 fr., qui reste acquise à l'Etat de Genève (art. 111 al. 1 CPC). Il sera condamné à verser le solde en 2'000 fr. aux Services financiers du Pourvoir judiciaire. Il sera, en outre, condamné aux dépens de l'intimée, arrêtés à 6'000 fr. (art. 85, 88 et 90 RTFMC), hors TVA, vu le domicile de l'intimée à l'étranger (ATF 141 IV 344 consid. 4.1). * * * * *</w:t>
      </w:r>
    </w:p>
    <w:p>
      <w:r>
        <w:t>- 16/17 -</w:t>
      </w:r>
    </w:p>
    <w:p>
      <w:r>
        <w:t>C/21253/2023 PAR CES MOTIFS, La Chambre civile :</w:t>
      </w:r>
    </w:p>
    <w:p>
      <w:r>
        <w:t>A la forme : Déclare recevable l'appel interjeté le 15 avril 2024 par A______ contre l'ordonnance OTPI/223/2024 rendue le 3 avril 2024 par le Tribunal de première instance dans la cause C/21253/2023-SP. Au fond : Confirme cette ordonnance. Déboute les parties de toutes autres conclusions. Sur les frais : Arrête les frais judicaires d’appel à 4'000 fr., les met à la charge de A______ et dit qu'ils sont partiellement compensés avec l'avance fournie, qui reste acquise à l'Etat de Genève. Condamne A______ à verser le solde des frais judiciaires de 2'000 fr. à l’Etat de Genève, soit pour lui les Services financiers du Pouvoir judiciaire. Condamne A______ à verser à B______ une somme de 6'000 fr. à titre de dépens d'appel. Siégeant : Monsieur Laurent RIEBEN, président; Madame Sylvie DROIN, Madame Nathalie LANDRY-BARTHE, juges; Madame Laura SESSA, greffière.</w:t>
      </w:r>
    </w:p>
    <w:p>
      <w:r>
        <w:t>Le président : Laurent RIEBEN</w:t>
      </w:r>
    </w:p>
    <w:p>
      <w:r>
        <w:t>La greffière : Laura SESSA</w:t>
      </w:r>
    </w:p>
    <w:p>
      <w:r>
        <w:t>- 17/17 -</w:t>
      </w:r>
    </w:p>
    <w:p>
      <w:r>
        <w:t>C/21253/2023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