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ACJC/1081/2020 vom 12. August 2020</w:t>
      </w:r>
    </w:p>
    <w:p>
      <w:r>
        <w:t>GE Cour de justice, 2020-08-12, FR</w:t>
      </w:r>
    </w:p>
    <w:p>
      <w:r>
        <w:rPr>
          <w:b/>
        </w:rPr>
        <w:t xml:space="preserve">Quelle: </w:t>
      </w:r>
      <w:r>
        <w:t>https://mcp.opencaselaw.ch/entscheid/ge_gerichte_ACJC_1081_2020</w:t>
      </w:r>
    </w:p>
    <w:p>
      <w:r>
        <w:t>FR: GE_GERICHTE ACJC/1081/2020 du 12 août 2020</w:t>
      </w:r>
    </w:p>
    <w:p>
      <w:r>
        <w:t>IT: GE_GERICHTE ACJC/1081/2020 del 12 agosto 2020</w:t>
      </w:r>
    </w:p>
    <w:p>
      <w:pPr>
        <w:pStyle w:val="Heading2"/>
      </w:pPr>
      <w:r>
        <w:t>Erwägungen</w:t>
      </w:r>
    </w:p>
    <w:p>
      <w:r>
        <w:rPr>
          <w:b/>
        </w:rPr>
        <w:t>E. 1</w:t>
      </w:r>
    </w:p>
    <w:p>
      <w:r>
        <w:t>La recourante ne recourt pas contre une décision rendue par le Tribunal, mais déclare agir "contre le Tribunal de première instance pour déni de justice". Elle vise par conséquent le recours prévu par l'art. 319 let. c CPC, soit celui formé pour retard injustifié du Tribunal. 1.1.1 Le retard injustifié couvre l'hypothèse d'une absence de décision, constitutive de déni de justice matériel, étant rappelé que toute partie a droit à ce que sa cause soit jugée dans un délai raisonnable. (…) Le retard à statuer au sens de l'art. 319 let. c CPC présuppose que le tribunal saisi ne rend pas de décision attaquable alors qu'il le peut (et le doit). Il n'empêche qu'un tel retard, pour être sanctionné au sens de l'art. 319 let. c, doit constituer une violation évidente de ses obligations par la juridiction concernée, ce qui s'apprécie en fonction des circonstances du cas concret mais ne devrait être admis que dans les cas crasses, c'est-à-dire lorsque le retard est injustifiable et que le prolongement d'une telle situation ne saurait être imposé aux parties. En d'autres termes, le recours pour retard injustifié est exclusivement réservé aux situations dans lesquelles il n'y a pas de décision à attaquer (…) (JEANDIN, CR CPC Commenté, 2ème éd. 2019, ad art. 319 n. 27 ss).</w:t>
      </w:r>
    </w:p>
    <w:p>
      <w:r>
        <w:t>1.1.2 Le recours pour retard injustifié peut être formé en tout temps (art. 321 al. 4 CPC). Pour le recours, le CPC pose des exigences identiques en appel et dans le cadre d'un recours (arrêt du Tribunal fédéral 5D_190/2014 du 12 mai 2015 consid. 2).</w:t>
      </w:r>
    </w:p>
    <w:p>
      <w:r>
        <w:t>L'appel (et par voie de conséquence le recours) doit être motivé, cette condition légale de recevabilité étant examinée d'office par l'instance d'appel (…). L'instance supérieure doit pouvoir comprendre ce qui est reproché au premier juge sans avoir à rechercher des griefs par elle-même, ce qui exige une certaine précision quant à l'énoncé et à la discussion des griefs (JEANDIN, op. cit. ad art. 311 n. 3 et 3a).</w:t>
      </w:r>
    </w:p>
    <w:p>
      <w:r>
        <w:t>L'acte de recours doit contenir des conclusions formulées de telle sorte qu'en cas d'admission de la demande, elles puissent être reprises dans le jugement sans modification (arrêt du Tribunal fédéral 5A_663/2011 du 8 décembre 2011 consid. 4.3 et 4.5).</w:t>
      </w:r>
    </w:p>
    <w:p>
      <w:r>
        <w:t>1.2.1 En l'espèce, le recours a été formé par la mineure A______, représentée par sa mère. La question de savoir si cette représentation par la mère est valable alors que l'enfant est représentée, dans le cadre de la présente procédure, par une</w:t>
      </w:r>
    </w:p>
    <w:p>
      <w:r>
        <w:t>- 12/14 -</w:t>
      </w:r>
    </w:p>
    <w:p>
      <w:r>
        <w:t>C/16238/2016 curatrice désignée par le Tribunal, peut demeurer indécise compte tenu de l'issue de la présente procédure.</w:t>
      </w:r>
    </w:p>
    <w:p>
      <w:r>
        <w:t>1.2.2 Le recours a été formé pour déni de justice. Il appartenait par conséquent à la recourante, conformément à l'obligation de motivation découlant du CPC, d'exposer les éléments lui permettant de soutenir que le Tribunal s'était rendu coupable d'un tel déni. En l'espèce, l'acte de recours contient pour l'essentiel un ensemble disparate de critiques peu cohérentes dirigées notamment contre la curatrice, l'expertise et le Tribunal. Il ressort toutefois de cet amalgame confus que la recourante reproche au Tribunal de ne pas avoir encore statué au fond sur la garde, les papiers d'identité suisse de la mineure, l'école et la contribution d'entretien. Il est également fait grief au Tribunal de ne pas avoir tenu d'audience sur mesures provisionnelles. Dès lors, il sera retenu que le recours est suffisamment motivé, la Cour parvenant à comprendre les griefs formulés à l'égard du Tribunal. En revanche, il est douteux que les conclusions prises remplissent les conditions mentionnées sous considérant 1.1.2 ci-dessus. La recourante a en effet conclu à la prise en compte des art. 12 et 13 de la Convention de l'ONU relative aux droits de l'enfant, sans indiquer quelles conséquences concrètes elle tire desdites dispositions; elle a en outre mentionné la Convention internationale sur l'élimination de toutes les formes de discrimination raciale, sans expliquer en quoi la présente cause était concernée par ladite convention et la question raciale. Pour le surplus, elle a conclu à ce qu'il soit statué sur la cause, sans indiquer si cette injonction s'adressait directement à la Cour, ou si elle sollicitait de la Cour qu'elle enjoigne au Tribunal de statuer. Cela étant, la question de la recevabilité de ladite conclusion peut demeurer indécise, dans la mesure où, quoiqu'il en soit, le recours apparaît infondé pour les raisons qui vont suivre.</w:t>
      </w:r>
    </w:p>
    <w:p>
      <w:r>
        <w:t>1.2.3 La recourante se plaint du fait qu'aucun jugement n'a été rendu sur mesures provisionnelles. Il appert toutefois que depuis le 26 mars 2020, date du dépôt de son recours, le Tribunal a tenu une audience le 6 mai 2020, consacrée aux mesures provisionnelles et a rendu un jugement le 3 juin 2020. Au vu de ce qui précède, il y a lieu de considérer que le recours, en tant qu'il porte sur l'absence de décision sur mesures provisionnelles, est devenu sans objet. Certes, un certain laps de temps s'est écoulé entre les ordonnances sur mesures superprovisionnelles des 8 et 9 janvier, ainsi que du 20 avril 2020 et le prononcé des mesures provisionnelles le</w:t>
      </w:r>
    </w:p>
    <w:p>
      <w:r>
        <w:rPr>
          <w:b/>
        </w:rPr>
        <w:t>E. 1.3</w:t>
      </w:r>
    </w:p>
    <w:p>
      <w:r>
        <w:t>Infondé, le recours sera rejeté. 2. 2.1 Les frais sont mis à la charge de la partie succombante (art. 106 al. 1 CPC). 2.2 En l'espèce, les frais de recours, arrêtés à 1'500 fr. (art. 42 du Règlement fixant le tarif des frais en matière civile – RTFMC), seront mis à la charge de la recourante, qui succombe. La recourante n'ayant pas été mise au bénéfice de l'Assistance judiciaire, elle sera condamnée à verser à l'Etat de Genève, soit pour lui les Services financiers du Pouvoir judiciaire, la somme de 1'500 fr. à titre de frais. 2.3 Il ne sera pas alloué de dépens à C______, l'activité de son conseil ayant été limitée à l'envoi d'une simple lettre. * * * * *</w:t>
      </w:r>
    </w:p>
    <w:p>
      <w:r>
        <w:t>- 14/14 -</w:t>
      </w:r>
    </w:p>
    <w:p>
      <w:r>
        <w:t>C/16238/2016 PAR CES MOTIFS, La Chambre civile : Déclare infondé, dans la mesure de sa recevabilité, le recours pour déni de justice formé le 26 mars 2020 par B______ contre le Tribunal de première instance, dans la cause C/16238/2016. Sur les frais : Arrête les frais de la procédure de recours à 1'500 fr. et les met à la charge de la recourante. Condamne en conséquence B______ à verser à l'Etat de Genève, soit pour lui les Services financiers du Pouvoir judiciaire, la somme de 1'500 fr. Dit qu'il n'est pas alloué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r>
        <w:rPr>
          <w:b/>
        </w:rPr>
        <w:t>E. 3</w:t>
      </w:r>
    </w:p>
    <w:p>
      <w:r>
        <w:t>juin 2020. Il convient toutefois de tenir compte du fait qu'en raison de la pandémie provoquée par le COVID-19, le Tribunal a été contraint de fonctionner au ralenti pendant plusieurs semaines, durant lesquelles il n'a pas été en mesure de tenir d'audiences. Aucun déni de justice ne saurait par conséquent être reproché au Tribunal en relation avec le prononcé des mesures provisionnelles.</w:t>
      </w:r>
    </w:p>
    <w:p>
      <w:r>
        <w:t>- 13/14 -</w:t>
      </w:r>
    </w:p>
    <w:p>
      <w:r>
        <w:t>C/16238/2016</w:t>
      </w:r>
    </w:p>
    <w:p>
      <w:r>
        <w:t>La recourante fait en outre grief au Tribunal de ne pas s'être prononcé au fond. Force est toutefois de constater que le comportement de la recourante, qui ne cesse de déposer de nouvelles requêtes de mesures superprovisionnelles et provisionnelles, portant pour l'essentiel sur des points d'ores et déjà examinés et tranchés, ne fait que ralentir la procédure et empêche le Tribunal d'instruire et de statuer au fond. Une telle attitude procédurale est contraire à l'intérêt de l'enfant et il appartiendra au Tribunal, dans l'hypothèse où le dépôt de telles requêtes devait se poursuivre, d'examiner la question de la validité de la représentation de la mineure par sa mère, ainsi que le prononcé de sanctions éventuelles pour usage abusif des procédures (art. 128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