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ACJC/1081/2017 vom 5. September 2017</w:t>
      </w:r>
    </w:p>
    <w:p>
      <w:r>
        <w:t>GE Cour de justice, 2017-09-05, FR</w:t>
      </w:r>
    </w:p>
    <w:p>
      <w:r>
        <w:rPr>
          <w:b/>
        </w:rPr>
        <w:t xml:space="preserve">Quelle: </w:t>
      </w:r>
      <w:r>
        <w:t>https://mcp.opencaselaw.ch/entscheid/ge_gerichte_ACJC_1081_2017</w:t>
      </w:r>
    </w:p>
    <w:p>
      <w:r>
        <w:t>FR: GE_GERICHTE ACJC/1081/2017 du 5 septembre 2017</w:t>
      </w:r>
    </w:p>
    <w:p>
      <w:r>
        <w:t>IT: GE_GERICHTE ACJC/1081/2017 del 5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t>- 3/7 -</w:t>
      </w:r>
    </w:p>
    <w:p>
      <w:r>
        <w:t>C/7734/2017</w:t>
      </w:r>
    </w:p>
    <w:p>
      <w:r>
        <w:rPr>
          <w:b/>
        </w:rPr>
        <w:t>E. 2</w:t>
      </w:r>
    </w:p>
    <w:p>
      <w:r>
        <w:t>La défenderesse ayant acquiescé à la demande, il sera fait droit aux conclusions de la demanderesse.</w:t>
      </w:r>
    </w:p>
    <w:p>
      <w:r>
        <w:t>Dès lors que la défenderesse a été mise en demeure de payer par courrier recommandé du 14 décembre 2015, les intérêts moratoires sont dus dès cette date (art. 102 CO). Toutefois la demanderesse ayant conclu au paiement de la somme avec intérêts à 5% l'an dès le 4 janvier 2016 cette dernière date sera retenue.</w:t>
      </w:r>
    </w:p>
    <w:p>
      <w:r>
        <w:rPr>
          <w:b/>
        </w:rPr>
        <w:t>E. 3.1</w:t>
      </w:r>
    </w:p>
    <w:p>
      <w:r>
        <w:t>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w:t>
      </w:r>
    </w:p>
    <w:p>
      <w:r>
        <w:t>- 4/7 -</w:t>
      </w:r>
    </w:p>
    <w:p>
      <w:r>
        <w:t>C/7734/2017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 modèle »,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trente procédures sont en cours, objet de demandes quasi-identiques, comme retenu ci-avant. Par conséquent, compte tenu de la très faible valeur litigieuse en cause et du travail effectué par le conseil de la demanderesse qui a consisté à déposer une demande adaptée à la défenderesse, ce travail pouvant être estimé à un peu plus une heure de travail d'avocat – soit le temps nécessaire à adapter la demande et le chargé de pièce ainsi que la prise en compte d'une partie du temps global qui a été nécessaire à l'avocat pour rédiger sa demande « modèle » et le courrier de réplique –, cette dernière sera condamnée à payer à la demanderesse la somme de 500 fr. à titre de dépens, débours et TVA compris (art. 85 RFTMC; art. 23, 25 et 26 LaCC).</w:t>
      </w:r>
    </w:p>
    <w:p>
      <w:r>
        <w:t>- 5/7 -</w:t>
      </w:r>
    </w:p>
    <w:p>
      <w:r>
        <w:t>C/7734/2017</w:t>
      </w:r>
    </w:p>
    <w:p>
      <w:r>
        <w:rPr>
          <w:b/>
        </w:rPr>
        <w:t>E. 4</w:t>
      </w:r>
    </w:p>
    <w:p>
      <w:r>
        <w:t>Le recours en matière civile au Tribunal fédéral est ouvert, indépendamment de la valeur litigieuse (art. 74 al. 2 let. b LTF). * * * * *</w:t>
      </w:r>
    </w:p>
    <w:p>
      <w:r>
        <w:t>- 6/7 -</w:t>
      </w:r>
    </w:p>
    <w:p>
      <w:r>
        <w:t>C/7734/2017 PAR CES MOTIFS, La Chambre civile : A la forme : Déclare recevable la demande en paiement formée le 5 avril 2017 par PROLITTERIS, SOCIETE SUISSE DE DROITS D'AUTEUR POUR L'ART LITTERAIRE ET PLASTIQUE, COOPERATIVE contre A______ dans la cause C/7734/2017. Au fond : Condamne A______ à payer à verser à PROLITTERIS, SOCIETE SUISSE DE DROITS D'AUTEUR POUR L'ART LITTERAIRE ET PLASTIQUE, COOPERATIVE 5% d'intérêts dès le 4 janvier 2016 sur la somme de 215 fr. 30.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- 7/7 -</w:t>
      </w:r>
    </w:p>
    <w:p>
      <w:r>
        <w:t>C/7734/2017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