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ACJC/1078/2020 vom 18. Juni 2020</w:t>
      </w:r>
    </w:p>
    <w:p>
      <w:r>
        <w:t>GE Cour de justice, 2020-06-18, FR</w:t>
      </w:r>
    </w:p>
    <w:p>
      <w:r>
        <w:rPr>
          <w:b/>
        </w:rPr>
        <w:t xml:space="preserve">Quelle: </w:t>
      </w:r>
      <w:r>
        <w:t>https://mcp.opencaselaw.ch/entscheid/ge_gerichte_ACJC_1078_2020</w:t>
      </w:r>
    </w:p>
    <w:p>
      <w:r>
        <w:t>FR: GE_GERICHTE ACJC/1078/2020 du 18 juin 2020</w:t>
      </w:r>
    </w:p>
    <w:p>
      <w:r>
        <w:t>IT: GE_GERICHTE ACJC/1078/2020 del 18 giugno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décision querellée ayant été rendue dans une affaire relevant de la compétence du tribunal de la faillite selon la LP (art. 309 let. b ch. 7 et 319 let. a CPC; art. 174 al. 1 LP, applicable par renvoi de l'art. 194 al. 1 LP, en relation avec l'art. 192 LP), seule la voie du recours est ouverte. La procédure sommaire s'applique (art. 251 let. a CPC).</w:t>
      </w:r>
    </w:p>
    <w:p>
      <w:r>
        <w:rPr>
          <w:b/>
        </w:rPr>
        <w:t>E. 1.2</w:t>
      </w:r>
    </w:p>
    <w:p>
      <w:r>
        <w:t>En l'espèce, le recours a été formé selon la forme et dans le délai prévus par la loi (art. 321 al. 1 et 2 CPC ; art. 174 al. 1 LP), de sorte qu'il est recevable.</w:t>
      </w:r>
    </w:p>
    <w:p>
      <w:r>
        <w:rPr>
          <w:b/>
        </w:rPr>
        <w:t>E. 1.3</w:t>
      </w:r>
    </w:p>
    <w:p>
      <w:r>
        <w:t>Dans le cadre d'un recours, le pouvoir d'examen de la Cour est limité à la violation du droit et à la constatation manifestement inexacte des faits (art. 320 CPC).</w:t>
      </w:r>
    </w:p>
    <w:p>
      <w:r>
        <w:rPr>
          <w:b/>
        </w:rPr>
        <w:t>E. 2</w:t>
      </w:r>
    </w:p>
    <w:p>
      <w:r>
        <w:t>La recourante soutient qu'elle ne serait pas surendettée, grâce à la postposition de la créance de 80'000 fr. détenue à son endroit par ses associés-gérants.</w:t>
      </w:r>
    </w:p>
    <w:p>
      <w:r>
        <w:t>- 4/6 -</w:t>
      </w:r>
    </w:p>
    <w:p>
      <w:r>
        <w:t>C/10829/2020</w:t>
      </w:r>
    </w:p>
    <w:p>
      <w:r>
        <w:rPr>
          <w:b/>
        </w:rPr>
        <w:t>E. 2.1</w:t>
      </w:r>
    </w:p>
    <w:p>
      <w:r>
        <w:t>L'art. 820 al. 1 CO prévoit que les dispositions du droit de la société anonyme concernant l'avis obligatoire en cas de perte de capital et de surendettement de la société sont applicables par analogie à la société en responsabilité limitée. Selon l'art. 725 al. 2 CO, s'il résulte du bilan intermédiaire soumis à la vérification de l'organe de révision que la société est surendettée, le conseil d'administration en avise le juge, à moins qu'une convention de postposition soit conclue dans la mesure de l'insuffisance de l'actif. Au vu de l'avis, le juge déclare la faillite. Il peut l'ajourner, à la requête du conseil d'administration ou d'un créancier, si l'assainissement paraît possible. Dans ce cas, il prend les mesures propres à la conservation de l'actif social (art. 725a al. 1 CO; 192 LP).</w:t>
      </w:r>
    </w:p>
    <w:p>
      <w:r>
        <w:rPr>
          <w:b/>
        </w:rPr>
        <w:t>E. 2.2</w:t>
      </w:r>
    </w:p>
    <w:p>
      <w:r>
        <w:t>La postposition est un contrat innomé sui generis conclu entre le créancier et la société débitrice par lequel, aussi longtemps que la société est surendettée, le créancier renonce à l'exigibilité de sa créance et accepte de manière irrévocable qu'en cas de faillite de la société débitrice sa créance soit placée à un rang inférieur par rapport à toutes les autres créances. La postposition permet au conseil d'administration d'échapper à l'obligation de déposer l'avis de surendettement si les deux conditions suivantes sont cumulativement réalisées : la postposition est concédée par un créancier solvable et le montant postposé couvre l'insuffisance de l'actif ressortant de celui des deux bilans requis par l'art. 725 al. 2 CO qui est le plus favorable à la société. Les créances postposées ne peuvent être honorées avant la disparition complète (et stable) du surendettement (PETER/CAVADINI, Commentaire romand, Code des obligations II, 2ème éd. 2017, n. 50, 52 et 54 ad art. 725 CO).</w:t>
      </w:r>
    </w:p>
    <w:p>
      <w:r>
        <w:rPr>
          <w:b/>
        </w:rPr>
        <w:t>E. 2.3</w:t>
      </w:r>
    </w:p>
    <w:p>
      <w:r>
        <w:t>En l'espèce, à teneur des comptes établis par l'organe de révision, la recourante s'est trouvée en situation de surendettement, ce qui n'est au demeurant pas contesté.</w:t>
      </w:r>
    </w:p>
    <w:p>
      <w:r>
        <w:t>A l'appui de son recours, la société se prévaut d'une convention de postposition conclue avec ses deux associés-gérants, postérieurement à la date du rapport de l'organe de révision - fait nouveau recevable. A bien comprendre ses allégués, ses associés-gérants auraient une créance envers elle, en leur qualité de codébiteurs solidaires; celle-ci dériverait du prêt consenti en janvier 2020 par un tiers, et concrétisée par le transfert sur le compte de la recourante du montant versé par le tiers "aux emprunteurs".</w:t>
      </w:r>
    </w:p>
    <w:p>
      <w:r>
        <w:t>Cette présentation des faits ne convainc pas. Il résulte en effet du texte de la convention de prêt que le montant prêté a été mis à disposition des trois emprunteurs (la recourante et ses deux associés gérants, codébiteurs solidaires) par transfert sur le compte bancaire de la recourante. L'avis de crédit du compte</w:t>
      </w:r>
    </w:p>
    <w:p>
      <w:r>
        <w:t>- 5/6 -</w:t>
      </w:r>
    </w:p>
    <w:p>
      <w:r>
        <w:t>C/10829/2020 bancaire de la recourante fait mention de ce que le montant versé est un crédit du tiers, sans référence aux associés-gérants. Rien dans ces pièces ne conduit donc à supposer que le prêt aurait été consenti aux associés-gérants seuls, lesquels auraient ensuite procédé eux-mêmes à un deuxième prêt en faveur de la recourante. Par ailleurs, la qualité de débiteurs solidaires des trois emprunteurs vis-à-vis du prêteur ne leur confère pas, entre eux, de créance (hors le cas prévu à l'art. 148 al. 1 CO, dépourvu de pertinence à ce stade). On ne discerne au demeurant pas en quoi la convention de postposition du 17 juin 2020 ferait obstacle à ce que le prêteur - qui n'y est pas partie - recherche, pour le remboursement du prêt qu'il a octroyé, la recourante, dont la dette n'a pas été reprise. Cette convention apparaît ainsi porter sur une créance inexistante et ne permet donc pas à la recourante d'échapper à l'état de surendettement résultant des comptes établis par l'organe de révision.</w:t>
      </w:r>
    </w:p>
    <w:p>
      <w:r>
        <w:t>Il s'ensuit que le recours est infondé, de sorte qu'il sera rejeté.</w:t>
      </w:r>
    </w:p>
    <w:p>
      <w:r>
        <w:rPr>
          <w:b/>
        </w:rPr>
        <w:t>E. 3</w:t>
      </w:r>
    </w:p>
    <w:p>
      <w:r>
        <w:t>La recourante, qui succombe (art. 106 al. 1 CPC), sera condamnée aux frais du recours, arrêtés à 300 fr. (art. 48, 52 et 61 OELP) et compensés avec l'avance fournie, qui reste acquise à l'Etat de Genève (art. 111 al. 1 CPC). * * * * *</w:t>
      </w:r>
    </w:p>
    <w:p>
      <w:r>
        <w:t>- 6/6 -</w:t>
      </w:r>
    </w:p>
    <w:p>
      <w:r>
        <w:t>C/10829/2020 PAR CES MOTIFS, La Chambre civile : A la forme : Déclare recevable le recours formé le 23 juin 2020 par A______ SARL contre le jugement JTPI/7584/2020 rendu le 18 juin 2020 par le Tribunal de première instance dans la cause C/10829/2020-5 SFC. Au fond : Rejette ce recours. Déboute les parties de toutes autres conclusions. Sur les frais : Arrête les frais judiciaires du recours à 300 fr., les met à la charge de A______ SARL et les compense avec l'avance fournie, laquelle demeure acquise à l'Etat de Genève. Siégeant : Madame Sylvie DROIN, présidente; Madame Nathalie LANDRY-BARTHE et Madame Pauline ERARD, juges; Madame Mélanie DE RESENDE PEREIRA, greffière.</w:t>
      </w:r>
    </w:p>
    <w:p>
      <w:r>
        <w:t>La présidente : Sylvie DROIN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