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ACJC/1077/2016 vom 16. August 2016</w:t>
      </w:r>
    </w:p>
    <w:p>
      <w:r>
        <w:t>GE Cour de justice, 2016-08-16, FR</w:t>
      </w:r>
    </w:p>
    <w:p>
      <w:r>
        <w:rPr>
          <w:b/>
        </w:rPr>
        <w:t xml:space="preserve">Quelle: </w:t>
      </w:r>
      <w:r>
        <w:t>https://mcp.opencaselaw.ch/entscheid/ge_gerichte_ACJC_1077_2016</w:t>
      </w:r>
    </w:p>
    <w:p>
      <w:r>
        <w:t>FR: GE_GERICHTE ACJC/1077/2016 du 16 août 2016</w:t>
      </w:r>
    </w:p>
    <w:p>
      <w:r>
        <w:t>IT: GE_GERICHTE ACJC/1077/2016 del 16 agosto 2016</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une demande en suppression de contributions à l'entretien d'enfants, soit sur une affaire patrimoniale dont la valeur litigieuse est, compte tenu de la quotité de la réduction demandée, supérieure à 10'000 fr. (art. 91 al. 1, 92 et 308 al. 2 CPC).</w:t>
      </w:r>
    </w:p>
    <w:p>
      <w:r>
        <w:t>Il en va de même du mémoire de réponse de l'intimée, déposé dans les formes et délais prescrits (art. 312 CPC).</w:t>
      </w:r>
    </w:p>
    <w:p>
      <w:r>
        <w:rPr>
          <w:b/>
        </w:rPr>
        <w:t>E. 1.2</w:t>
      </w:r>
    </w:p>
    <w:p>
      <w:r>
        <w:t>La Cour revoit la cause en fait et en droit avec un plein pouvoir d'examen (art. 310 CPC) dans les limites posées par les maximes des débats et de disposition (art. 58, 277 al. 1 et 284 al. 3 CPC; ATF 139 III 368 = SJ 2013 I 578), sous réserve de la question de la modification de la contribution due à l'entretien de l'enfant D______, qui, dans la mesure où ce dernier est encore mineur, est soumise à la maxime inquisitoire illimitée et d'office (art. 296 al. 1 et 3 CPC).</w:t>
      </w:r>
    </w:p>
    <w:p>
      <w:r>
        <w:rPr>
          <w:b/>
        </w:rPr>
        <w:t>E. 2.1</w:t>
      </w:r>
    </w:p>
    <w:p>
      <w:r>
        <w:t>L'appelant reproche au premier juge d'avoir retenu que la situation des parties ne s'était pas modifiée de manière notable et durable depuis le prononcé du jugement de divorce et partant d'avoir refusé d'entrer en matière sur sa demande en modification dudit jugement. Il soutient qu'une péjoration notable et durable de sa situation financière aurait dû être retenue puisqu'il est sans emploi, ne perçoit plus d'indemnités de l'assurance chômage et qu’il est, depuis plusieurs années, financièrement dépendant de l'aide sociale pour couvrir ses besoins. Il relève en outre qu'il n'a pas été tenu compte du fait que la situation financière des parties intimées s'est améliorée depuis le prononcé du jugement de divorce.</w:t>
      </w:r>
    </w:p>
    <w:p>
      <w:r>
        <w:rPr>
          <w:b/>
        </w:rPr>
        <w:t>E. 2.2</w:t>
      </w:r>
    </w:p>
    <w:p>
      <w:r>
        <w:t>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w:t>
      </w:r>
    </w:p>
    <w:p>
      <w:r>
        <w:t>- 7/14 -</w:t>
      </w:r>
    </w:p>
    <w:p>
      <w:r>
        <w:t>C/24106/2014 Le moment déterminant pour apprécier si un fait nouveau s'est produit est la date du dépôt de la demande de modification (ATF 137 III 604 consid. 4.1.1; 131 III 189 consid. 2.7.4; 120 II 285 consid. 4b).</w:t>
      </w:r>
    </w:p>
    <w:p>
      <w:r>
        <w:t>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w:t>
      </w:r>
    </w:p>
    <w:p>
      <w:r>
        <w:rPr>
          <w:b/>
        </w:rPr>
        <w:t>E. 2.3</w:t>
      </w:r>
    </w:p>
    <w:p>
      <w:r>
        <w:t>En l'espèce, lors du prononcé du jugement de divorce, l'appelant percevait des indemnités de l'assurance-chômage depuis environ onze mois. Le juge du divorce lui a toutefois imputé un revenu hypothétique de 4'000 fr. nets par mois, estimant qu'il pouvait être exigé de lui qu'il réalise à moyen terme un tel revenu, compte tenu de sa formation professionnelle de comptable et de son âge, qui était à l'époque de 46 ans. Or, depuis le prononcé du jugement de divorce, l'appelant, qui est actuellement âgé de 55 ans, n'est pas parvenu à retrouver un emploi fixe bien qu'il ait déclaré - sans être contredit par les parties intimées - avoir effectué de nombreuses démarches en ce sens. Il ne perçoit plus d'indemnités de l'assurance- chômage et émarge, depuis plusieurs années, à l'assistance publique. Contrairement à ce qu'a retenu le premier juge, il s'agit là d'un fait nouveau, important et durable.</w:t>
      </w:r>
    </w:p>
    <w:p>
      <w:r>
        <w:t>De surcroît, ainsi que le relève à juste titre l'appelant, des faits nouveaux, importants et durables sont également survenus dans la situation des parties intimées. Le salaire mensuel net de l'intimée, qui s'élevait au moment du prononcé du jugement de divorce à 4'210 fr., a augmenté à 6'823 fr., ce qui représente une augmentation de revenu - dont il n'est pas allégué qu'elle serait temporaire - de 2'613 fr. soit de plus de 60% par mois. Les charges de l'intimée n'ayant parallèlement subi qu'une légère augmentation (environ 500 fr. par mois), sa</w:t>
      </w:r>
    </w:p>
    <w:p>
      <w:r>
        <w:t>- 8/14 -</w:t>
      </w:r>
    </w:p>
    <w:p>
      <w:r>
        <w:t>C/24106/2014 situation financière s'est ainsi notablement et durablement améliorée depuis le prononcé du jugement de divorce.</w:t>
      </w:r>
    </w:p>
    <w:p>
      <w:r>
        <w:t>Par ailleurs, alors que l'intimé suivait, à l'époque du prononcé du jugement de divorce, sa scolarité obligatoire et n’avait aucun revenu, il effectuait, à la date du dépôt de la demande de modification, sa dernière année de stage en vue de l'obtention d'une maturité professionnelle, qu'il a obtenue en août 2015, et percevait, dans ce cadre, une rémunération de 1'850 fr. nets par mois. Ses charges étant demeurées sensiblement identiques, sa situation - tant personnelle que financière - s'est ainsi également notablement et durablement améliorée depuis le prononcé du jugement de divorce.</w:t>
      </w:r>
    </w:p>
    <w:p>
      <w:r>
        <w:t>La survenance de ces faits nouveaux importants et durables a pour conséquence de rendre la charge d'entretien actuelle déséquilibrée et excessivement lourde pour l'appelant. Celui-ci est en effet, depuis plusieurs années, soutenu financièrement par l'assistance publique et incapable de s'acquitter des contributions dues, à tel point qu’il a fait l’objet de condamnations pénales pour ce motif, alors que, parallèlement la situation des parties intimées s'est améliorée. Partant, c'est à tort que le premier juge a refusé d'entrer en matière sur la demande en modification du jugement de divorce formée par l'appelant.</w:t>
      </w:r>
    </w:p>
    <w:p>
      <w:r>
        <w:t>Il convient en conséquence de procéder à un nouvel examen de la situation personnelle et financière de chacune des parties afin de déterminer si une modification de la contribution due par l'appelant pour l'entretien de ses enfants se justifie.</w:t>
      </w:r>
    </w:p>
    <w:p>
      <w:r>
        <w:rPr>
          <w:b/>
        </w:rPr>
        <w:t>E. 3.1</w:t>
      </w:r>
    </w:p>
    <w:p>
      <w:r>
        <w:t>L'appelant sollicite que les contributions dont il est tenu de s'acquitter pour l'entretien de ses deux enfants cadets soient supprimées. Il soutient que sa situation financière ne lui permet plus d'honorer son obligation d'entretien à l'égard de ses enfants sans porter atteinte à son minimum vital et qu'un revenu hypothétique ne peut lui être imputé dès lors qu'il est peu probable qu'il retrouve un emploi, compte tenu de son âge, de la conjoncture économique actuelle, de l'insuccès des démarches qu'il a effectuées pour retrouver un emploi et des nombreuses années durant lesquelles il n'a pas exercé d'activité lucrative.</w:t>
      </w:r>
    </w:p>
    <w:p>
      <w:r>
        <w:t>3.2.1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L'obligation d'entretien trouve toutefois sa limite dans la capacité contributive du débirentier, en ce sens que le minimum vital de celui-ci doit être préservé (ATF 135 III 66 consid. 2; 123 III 1 consid. 3b/bb et consid. 5 in fine). Il n'y a pas</w:t>
      </w:r>
    </w:p>
    <w:p>
      <w:r>
        <w:t>- 9/14 -</w:t>
      </w:r>
    </w:p>
    <w:p>
      <w:r>
        <w:t>C/24106/2014 lieu de tenir compte, dans les revenus du débirentier, de l'aide que celui-ci perçoit de l'assistance publique. L'aide sociale est en effet subsidiaire par rapport aux obligations d'entretien du droit de la famille (arrêts du Tribunal fédéral 5A_158/2010 du 25 mars 2010 consid. 3.2 et 5A_170/2007 du 27 juin 2007 consid. 4).</w:t>
      </w:r>
    </w:p>
    <w:p>
      <w:r>
        <w:t>3.2.2 Lors de la fixation de la contribution d'entretien, le juge doit en principe tenir compte des revenus effectifs ou réels des parents. Il peut toutefois imputer à un parent un revenu hypothétique supérieur. Il s'agit d'inciter la personne à réaliser le revenu qu'elle est en mesure de se procurer et dont on peut raisonnablement exiger d'elle qu'elle l'obtienne afin de remplir ses obligations (ATF 128 III 4 consid. 4a; arrêt du Tribunal fédéral 5A_256/2015 du 13 août 2015 consid. 3.2.1).</w:t>
      </w:r>
    </w:p>
    <w:p>
      <w:r>
        <w:t>Lorsque le juge entend imputer à un parent un revenu hypothétique supérieur à celui obtenu effectivement,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w:t>
      </w:r>
    </w:p>
    <w:p>
      <w:r>
        <w:t>3.2.3 L'obligation d'entretien des père et mère dure jusqu'à la majorité de l'enfant (art. 277 al. 1 CC).</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L'obligation d'entretien des parents d'un enfant majeur n'existe que pour une seule formation professionnelle. Une seconde formation, un perfectionnement ou une</w:t>
      </w:r>
    </w:p>
    <w:p>
      <w:r>
        <w:t>- 10/14 -</w:t>
      </w:r>
    </w:p>
    <w:p>
      <w:r>
        <w:t>C/24106/2014 formation complémentaire ne sont en principe pas couverts, même s'ils peuvent paraître utiles (ATF 118 II 97 consid. 4a). L'obligation d'entretien peut toutefois subsister au-delà de la formation de base, pour une formation complémentaire ou une seconde formation fondée sur la première, si ces compléments ont été envisagés avant la majorité de l'enfant (ATF 107 II 465 consid. 6c; arrêt du Tribunal fédéral 5A_664/2015 du 25 janvier 2016 consid. 2.1).</w:t>
      </w:r>
    </w:p>
    <w:p>
      <w:r>
        <w:t>3.2.4 Le juge de l'action en modification d'un jugement de divorce peut fixer le moment à partir duquel son jugement prend effet selon son appréciation et en tenant compte des circonstances du cas concret. Il a toutefois été jugé que la modification d'un jugement de divorce prend en principe effet à partir du jour du dépôt de la demande de modification, lorsque le motif pour lequel la modification est demandée se trouve déjà réalisé à ce moment (ATF 117 II 368 consid. 4c aa; arrêts du Tribunal fédéral 5A_651/2014 du 27 janvier 2015 consid. 4.1.2). 3.3.1 En l'espèce, l'appelant n'a ni emploi ni revenu. L'aide financière qu'il perçoit de l'Hospice général ne saurait être prise en considération dès lors, qu'à teneur de la jurisprudence susmentionnée, l'assistance publique est subsidiaire par rapport aux obligations d'entretien du droit de la famille. Par ailleurs, s'il n'est pas contesté qu'il peut raisonnablement être exigé de l'appelant qu'il exerce une activité lucrative à temps plein dans le domaine de sa formation, à savoir la comptabilité, ou dans des domaines ne nécessitant pas de qualifications particulières, il apparaît toutefois peu probable qu'il ait la possibilité effective de trouver un emploi dans ces domaines lui permettant de réaliser un revenu suffisant pour contribuer à l'entretien de ses enfants. L'appelant est en effet âgé de 55 ans et, bien qu'il ait, selon ses déclarations non contestées par les parties intimées, régulièrement effectué des recherches d'emploi, accepté de nombreuses missions temporaires, y compris dans des domaines ne correspondant pas à sa formation, et participé au programme de réinsertion professionnelle mis en place par l'Hospice général, il ne parvient pas, depuis plusieurs années, à trouver un emploi fixe, ni, depuis plus de 3 ans, un emploi temporaire lui procurant un salaire suffisant pour couvrir ses charges incompressibles. Partant, aucun revenu hypothétique ne peut lui être imputé. Il sera en conséquence retenu que l'appelant ne dispose d'aucune ressource financière. Compte tenu des charges qu'il doit assumer, lesquelles s'élèvent à 2'056 fr. (cf. let. C.a EN FAIT), il n'est donc pas en mesure de contribuer à l'entretien de ses enfants sans entamer son minimum vital. Aucune contribution d'entretien ne peut ainsi être mise à sa charge, que ce soit pour l'entretien de son enfant mineur, D______, ou de son enfant majeur, C______.</w:t>
      </w:r>
    </w:p>
    <w:p>
      <w:r>
        <w:t>- 11/14 -</w:t>
      </w:r>
    </w:p>
    <w:p>
      <w:r>
        <w:t>C/24106/2014 3.3.2. Il peut en outre être relevé à titre superfétatoire que l'appelant ne saurait en tout état être tenu de continuer à contribuer à l'entretien de son enfant majeur indépendamment de sa situation financière. En effet, son obligation d'entretien à l'égard de ce dernier n'existe que pour une seule formation professionnelle. Or, C______ dispose déjà d'une formation professionnelle appropriée lui permettant de subvenir à ses besoins puisqu'il a obtenu un CFC puis une maturité professionnelle commerciale. En outre, s'il a certes déclaré avoir comme projet de commencer la Haute Ecole de Gestion en septembre 2016, il n'a produit aucun document démontrant qu'il s'agirait d'un projet concret, notamment une confirmation d'inscription, et a lui-même reconnu que cette formation pouvait s'effectuer parallèlement à l'exercice d'une activité lucrative. Enfin, il n'a ni allégué ni démontré avoir envisagé, avant son accession à la majorité, d'effectuer cette formation, qui constitue une seconde formation. Compte tenu de ce qui précède, l'appel sera admis et le jugement entrepris annulé. Le chiffre 5 du dispositif du jugement de divorce rendu le 5 septembre 2007 sera modifié en ce sens que l'appelant sera dispensé de contribuer à l'entretien de ses enfants D______ et C______ dès le 19 novembre 2014, soit dès la date du dépôt de sa présente demande en modification puisque les motifs pour lesquels cette modification était demandée étaient déjà réalisés à cette date-là. Il ne se justifie en revanche pas d'annuler les chiffres 6 et 8 du dispositif du jugement de divorce dès lors qu'ils cesseront de plein droit de déployer leur effet à partir du moment où l'appelant ne sera plus tenu de contribuer à l'entretien de ses enfants.</w:t>
      </w:r>
    </w:p>
    <w:p>
      <w:r>
        <w:rPr>
          <w:b/>
        </w:rPr>
        <w:t>E. 4.1</w:t>
      </w:r>
    </w:p>
    <w:p>
      <w:r>
        <w:t>Lorsque la Cour de céans statue à nouveau, elle se prononce sur les frais fixés par l'autorité inférieure (art. 318 al. 3 CPC).</w:t>
      </w:r>
    </w:p>
    <w:p>
      <w:r>
        <w:t>Le montant des frais judiciaires de première instance fixé à 1'200 fr. par le premier juge l'ayant été en conformité avec les dispositions légales applicables en la matière (art. 13 et 30 du Règlement fixant le tarif des frais en matière civile, RTFMC) et n'étant de surcroît pas critiqué par les parties, il peut être confirmé. Pour des motifs d'équité liés à la nature du litige, ces frais seront répartis à parts égales entre chacune des parties (art. 104 al. 1, 105 al. 1 et 107 al. 1 let. c CPC). Les deux intimés seront en conséquence condamnés à verser aux Services financiers du Pouvoir judiciaire la somme de 400 fr. chacun à titre de frais judiciaires. Le montant de 400 fr. mis à la charge de l'appelant sera provisoirement supporté par l'Etat de Genève, celui-ci plaidant au bénéfice de l'assistance juridique (art. 122 al. 1 let. b CPC). Il sera rappelé que les bénéficiaires de l'assistance juridique sont tenus au remboursement des frais judiciaires mis à la charge de l'Etat dans la mesure de l'art. 123 CPC.</w:t>
      </w:r>
    </w:p>
    <w:p>
      <w:r>
        <w:t>- 12/14 -</w:t>
      </w:r>
    </w:p>
    <w:p>
      <w:r>
        <w:t>C/24106/2014 Pour des motifs d'équité également, chaque partie supportera ses propres dépens de première instance (art. 107 al. 1 let c. CPC).</w:t>
      </w:r>
    </w:p>
    <w:p>
      <w:r>
        <w:rPr>
          <w:b/>
        </w:rPr>
        <w:t>E. 4.2</w:t>
      </w:r>
    </w:p>
    <w:p>
      <w:r>
        <w:t>Les frais judiciaires de la procédure d'appel seront arrêtés à 1'500 fr. (art. 13, 30 et 35 RTFMC) et seront, pour des motifs d'équité liés à la nature du litige, répartis à parts égales entre chacune des parties (art. 104 al. 1, 105 al. 1 et 107 al. 1 let. c CPC). Les deux intimés seront en conséquence condamnés à verser aux Services financiers du Pouvoir judiciaire la somme de 500 fr. chacun à titre de frais judiciaires. Le montant de 500 fr. mis à la charge de l'appelant sera provisoirement supporté par l'Etat de Genève, celui-ci plaidant au bénéfice de l'assistance juridique (art. 122 al. 1 let. b CPC). Pour des motifs d'équité également, chaque partie supportera ses propres dépens d’appel (art. 107 al. 1 let c. CPC). * * * * * *</w:t>
      </w:r>
    </w:p>
    <w:p>
      <w:r>
        <w:t>- 13/14 -</w:t>
      </w:r>
    </w:p>
    <w:p>
      <w:r>
        <w:t>C/24106/2014 PAR CES MOTIFS, La Chambre civile : A la forme : Déclare recevable l'appel interjeté le 7 octobre 2015 par A______ contre le jugement JTPI/9924/2015 rendu le 4 septembre 2015 par le Tribunal de première instance dans la cause C/24106/2014-2. Au fond : Annule le jugement entrepris et statuant à nouveau : Modifie le chiffre 5 du dispositif du jugement de divorce JTPI/11363/2007 rendu le</w:t>
      </w:r>
    </w:p>
    <w:p>
      <w:r>
        <w:rPr>
          <w:b/>
        </w:rPr>
        <w:t>E. 5</w:t>
      </w:r>
    </w:p>
    <w:p>
      <w:r>
        <w:t>septembre 2007 par le Tribunal de première instance en ce sens que A______ est libéré de son obligation de contribuer à l'entretien de ses enfants C______ et D______ à compter du 19 novembre 2014. Confirme ce jugement pour le surplus. Sur les frais de première instance : Arrête les frais judiciaires de première instance à 1'200 fr. et les met à la charge de A______, B______ et C______ à parts égales entre eux. Condamne B______ et C______ à verser aux Services financiers du Pouvoir judiciaire la somme de 400 fr. chacun à titre de frais judiciaires. Dit que les frais judiciaires à la charge de A______, de 400 fr., sont provisoirement supportés par l'Etat de Genève. Dit que chaque partie supporte ses propres dépens. Déboute les parties de toutes autres conclusions. Sur les frais d'appel : Arrête les frais judiciaires de la procédure d'appel à 1'500 fr. et les met à la charge de A______, B______ et C______ à parts égales entre eux. Condamne B______ et C______ à verser aux Services financiers du Pouvoir judiciaire la somme de 500 fr. chacun à titre de frais judiciaires.</w:t>
      </w:r>
    </w:p>
    <w:p>
      <w:r>
        <w:t>- 14/14 -</w:t>
      </w:r>
    </w:p>
    <w:p>
      <w:r>
        <w:t>C/24106/2014 Dit que les frais judiciaires à la charge de A______, de 500 fr., sont provisoirement supportés par l'Etat de Genève. Dit que chaque partie supporte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