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ACJC/1068/2015 vom 16. September 2015</w:t>
      </w:r>
    </w:p>
    <w:p>
      <w:r>
        <w:t>GE Cour de justice, 2015-09-16, FR</w:t>
      </w:r>
    </w:p>
    <w:p>
      <w:r>
        <w:rPr>
          <w:b/>
        </w:rPr>
        <w:t xml:space="preserve">Quelle: </w:t>
      </w:r>
      <w:r>
        <w:t>https://mcp.opencaselaw.ch/entscheid/ge_gerichte_ACJC_1068_2015</w:t>
      </w:r>
    </w:p>
    <w:p>
      <w:r>
        <w:t>FR: GE_GERICHTE ACJC/1068/2015 du 16 septembre 2015</w:t>
      </w:r>
    </w:p>
    <w:p>
      <w:r>
        <w:t>IT: GE_GERICHTE ACJC/1068/2015 del 16 settembre 2015</w:t>
      </w:r>
    </w:p>
    <w:p>
      <w:pPr>
        <w:pStyle w:val="Heading2"/>
      </w:pPr>
      <w:r>
        <w:t>Erwägungen</w:t>
      </w:r>
    </w:p>
    <w:p>
      <w:r>
        <w:rPr>
          <w:b/>
        </w:rPr>
        <w:t>E. 1.1</w:t>
      </w:r>
    </w:p>
    <w:p>
      <w:r>
        <w:t>L'appel est recevable contre les décisions de première instance sur mesures provisionnelles, si la contestation porte sur des questions non patrimoniales ou si, lorsque l'affaire est de nature pécuniaire, la valeur litigieuse au dernier état des conclusions devant le Tribnal de première instance atteint 10'000 fr. (art. 308 al.1 let. b et al. 2 CPC). Ainsi la durée des revenus et prestations périodiques est indéterminée ou illimitée, le capital est constitué d'un montant annuel du revenu ou de la prestation, multipliée par 20 (art. 92 al. 2 CPC).</w:t>
      </w:r>
    </w:p>
    <w:p>
      <w:r>
        <w:t>En l'espèce, le litige porte sur l'attribution de la garde d'un enfant mineur et le droit de visite, ainsi que sur la contribution à l'entretien du parent non gardien de l'enfant; la cause est ainsi non pécuniaire dans son ensemble (arrêts du Tribunal fédéral 5A_196/2013 du 25 septembre 2013 consid. 1.1; 5A_483/2011 du 31 octobre 2011 consid. 1.1). La voie de l'appel est ainsi ouverte.</w:t>
      </w:r>
    </w:p>
    <w:p>
      <w:r>
        <w:rPr>
          <w:b/>
        </w:rPr>
        <w:t>E. 1.2</w:t>
      </w:r>
    </w:p>
    <w:p>
      <w:r>
        <w:t>L'appel a été interjeté dans le délai de dix jours (art. 271 et 314 al. 1 CPC) et suivant la forme prescrite par la loi (art. 130, 131, 311 al. 1 CPC). Il est ainsi recevable.</w:t>
      </w:r>
    </w:p>
    <w:p>
      <w:r>
        <w:t>Sont également recevables l'écriture responsive de l'intimé (art. 248 let. d, 312 al. 1 et 314 al. 1 CPC) ainsi que les déterminations subséquentes des parties (ATF 138 I 154 consid. 2.3.3; 137 I 195 consid. 2.3.1 = SJ 2011 I 345).</w:t>
      </w:r>
    </w:p>
    <w:p>
      <w:r>
        <w:rPr>
          <w:b/>
        </w:rPr>
        <w:t>E. 1.3</w:t>
      </w:r>
    </w:p>
    <w:p>
      <w:r>
        <w:t>La Cour revoit la cause en fait et en droit avec un plein pouvoir d'examen (art. 310 CPC).</w:t>
      </w:r>
    </w:p>
    <w:p>
      <w:r>
        <w:t>Le litige portant sur la contribution due à un enfant mineur et les relations personnelles entre cet enfant et le parent non gardien, les maximes inquisitoire et d'office illimitées régissent la procédure (art. 296 al. 1, 55 al. 2 et 58 al. 2 CPC); ATF 129 III 417 consid. 2.1.2; 128 III 411 consid. 3.2.2 et les réf.; arrêt du Tribunal fédéral 5A_996/2012 du 18 avril 2013 consid. 3.2.2), de sorte que la Cour n'est ainsi liée ni par les conclusions des parties sur ce point (art. 296 al. 3 CPC) ni par l'interdiction de la réformatio in pejus (ATF 129 III 417 consid.2.1.1; arrêt du Tribunal fédéral 5A_562/2009 du 18 janvier 2010 consid. 3.1).</w:t>
      </w:r>
    </w:p>
    <w:p>
      <w:r>
        <w:rPr>
          <w:b/>
        </w:rPr>
        <w:t>E. 2</w:t>
      </w:r>
    </w:p>
    <w:p>
      <w:r>
        <w:t>La nationalité étrangère des parties constitue un élément d'extranéité (art. 1 al. 1 LDIP).</w:t>
      </w:r>
    </w:p>
    <w:p>
      <w:r>
        <w:t>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w:t>
      </w:r>
    </w:p>
    <w:p>
      <w:r>
        <w:t>- 9/16 -</w:t>
      </w:r>
    </w:p>
    <w:p>
      <w:r>
        <w:t>C/14363/2014</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w:t>
      </w:r>
    </w:p>
    <w:p>
      <w:r>
        <w:t>Le principe de la chose jugée l'emporte ainsi sur celui de la maxime d'office.</w:t>
      </w:r>
    </w:p>
    <w:p>
      <w:r>
        <w:t>Dès lors, les chiffres 1 à 3, 6 à 8 et 12 du dispositif du jugement querellé, non remis en cause par l'appelant, sont entrés en force de chose jugée. En revanche, les chiffres 10 et 11, relatifs aux frais de première instance, pourront encore être revus d'office en cas d'annulation de tout ou partie du jugement entrepris dans le cadre du présent appel (art. 318 al. 3 CPC).</w:t>
      </w:r>
    </w:p>
    <w:p>
      <w:r>
        <w:rPr>
          <w:b/>
        </w:rPr>
        <w:t>E. 4</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l'ATF 127 III 474 consid. 2b/bb p. 478 s.) : la cognition du juge est limitée à la simple vraisemblance des faits et à un examen sommaire du droit (arrêts du Tribunal fédéral 5A_318/2014, 5A_333/2014 du 2 octobre 2014 consid. 2.2; 5A_557/2013 du 23 décembre 2013 consid. 1.3),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t>- 10/16 -</w:t>
      </w:r>
    </w:p>
    <w:p>
      <w:r>
        <w:t>C/14363/2014</w:t>
      </w:r>
    </w:p>
    <w:p>
      <w:r>
        <w:rPr>
          <w:b/>
        </w:rPr>
        <w:t>E. 5</w:t>
      </w:r>
    </w:p>
    <w:p>
      <w:r>
        <w:t>L'appelant soutient que le droit d'être entendu de C______ a été violé, le premier juge n'ayant pas procédé à son audition.</w:t>
      </w:r>
    </w:p>
    <w:p>
      <w:r>
        <w:rPr>
          <w:b/>
        </w:rPr>
        <w:t>E. 5.1</w:t>
      </w:r>
    </w:p>
    <w:p>
      <w:r>
        <w:t>Aux termes de l'art. 298 al. 1 CPC, applicable à tout litige matrimonial dans lequel le juge est appelé à statuer sur le sort de l'enfant (JEANDIN, Code de procédure civile commenté, BOHNET/HALDY/JEANDIN/SCHWEIZER/TAPPY (éd.), ad art. 298 n. 6), celui-ci est entendu personnellement et de manière appropriée par le Tribunal ou un tiers nommé à cet effet, pour autant que son âge ou d'autres justes motifs ne s'y opposent pas.</w:t>
      </w:r>
    </w:p>
    <w:p>
      <w:r>
        <w:t>Selon la jurisprudence constante du Tribunal fédéral, comme en ce qui concerne l'art. 298 CPC, applicable dans les procédures de droit matrimonial, l'audition de l'enfant ne présuppose pas que l'enfant ait la capacité de discernement au sens de l'art. 16 CC. Selon la ligne directrice développée par le Tribunal fédéral dans le cadre des procédures de droit matrimonial, l'audition d'un enfant est possible dès qu'il a atteint l'âge de six ans révolus (ATF 133 III 553 consid. 3; 131 III 553 consid. 1.2.3; arrêt du Tribunal fédéral 5A_593/2011 du 10 février 2012 consid. 3.2), bien qu'en psychologie enfantine, il soit admis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5A_554/2014 du 21 octobre 2014 consid. 5.1.2; 5A_869/2013 du 24 mars 2014 consid. 2.1.1; 5A_593/2011 du 10 février 2012 consid. 3.2). L'audition d'un jeune enfant vise donc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(ATF 133 III 146 consid. 2.6; 131 III 553 consid. 1.2.2 et les références). L'audition des enfants découle aussi directement de l'art. 12 CDE (ATF 124 II 90 consid. 3a). Cette norme conventionnelle ne consacre toutefois pas de prérogatives plus larges que celles résultant du droit fédéral (au sujet de l'art. 144a CC, cf. ATF 131 III 553 et les références; arrêt du Tribunal fédéral 5A_735/2007 du 28 janvier 2008 consid. 2.1, publié in : FamPra.ch 2008 p. 449). L'art. 12 CDE garantit à chaque enfant le droit d'exprimer son avis dans toute procédure le concernant, dans la mesure où il est capable de se forger une opinion propre, ce qui correspond à la notion de discernement au sens de l'art. 16 CC (ATF 131 III 553 consid. 1.1 et les références; arrêts du Tribunal fédéral 5A_554/2014 du 21 octobre 2014 consid. 5.1.2; 5A_869/2013 du 24 mars 2014 consid. 2.1.1).</w:t>
      </w:r>
    </w:p>
    <w:p>
      <w:r>
        <w:rPr>
          <w:b/>
        </w:rPr>
        <w:t>E. 5.2</w:t>
      </w:r>
    </w:p>
    <w:p>
      <w:r>
        <w:t>En l'espèce, l'enfant C______ est né en 2008. Il avait par conséquent moins de six ans lors de l'introduction de la demande de première instance et tout juste six ans lors du dépôt du rapport d'évaluation par le SPMi. Il n'a, en procédure d'appel, pas encore atteint l'âge de sept ans. Compte tenu de son âge, on ne saurait lui</w:t>
      </w:r>
    </w:p>
    <w:p>
      <w:r>
        <w:t>- 11/16 -</w:t>
      </w:r>
    </w:p>
    <w:p>
      <w:r>
        <w:t>C/14363/2014 reconnaître la capacité de discernement au sens de l'art. 16 CC. L'art. 12 CDE n'a donc pas été enfreint. Par ailleurs, son audition consistait avant tout en un moyen de preuve supplémentaire, dont l'administration pouvait être admise comme superflue, si le Tribunal considérait les éléments dont il disposait comme étant suffisamment établis et pertinents pour trancher la question litigieuse.</w:t>
      </w:r>
    </w:p>
    <w:p>
      <w:r>
        <w:t>Par conséquent, aucune violation du droit d'être entendu de l'enfant C______ ne peut être retenue.</w:t>
      </w:r>
    </w:p>
    <w:p>
      <w:r>
        <w:rPr>
          <w:b/>
        </w:rPr>
        <w:t>E. 6.1</w:t>
      </w:r>
    </w:p>
    <w:p>
      <w:r>
        <w:t>En vertu de l'art. 176 al. 3 CC, lorsque les époux ont des enfants mineurs, le juge ordonne les mesures nécessaires d'après les dispositions sur les effets de la filiation (cf. art. 273 ss CC).</w:t>
      </w:r>
    </w:p>
    <w:p>
      <w:r>
        <w:t>Selon l'art. 296 al. 1er CC, l'enfant est soumis, pendant sa minorité, à l'autorité parentale.</w:t>
      </w:r>
    </w:p>
    <w:p>
      <w:r>
        <w:t>Le droit de garde est une composante de l'autorité parentale. Il consiste dans la compétence de déterminer le lieu de résidence et le mode d'encadrement de l'enfant. Le détenteur de l'autorité parentale peut confier des enfants à des tiers, exiger sa restitution, surveiller ses relations et diriger son éducation (DE LUZE/PAGE/STOUDMANN, Droit de la famille, Lausanne 2013, n. 1.2 ad art. 296 CC; ATF 128 II 9 consid. 4a).</w:t>
      </w:r>
    </w:p>
    <w:p>
      <w:r>
        <w:t>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w:t>
      </w:r>
    </w:p>
    <w:p>
      <w:r>
        <w:t>En cas de capacités équivalentes, la disponibilité des parents est déterminante, surtout chez les enfants en bas âge. En cas de disponibilité équivalente, la stabilité</w:t>
      </w:r>
    </w:p>
    <w:p>
      <w:r>
        <w:t>- 12/16 -</w:t>
      </w:r>
    </w:p>
    <w:p>
      <w:r>
        <w:t>C/14363/2014 et les relations familiales sont à examiner. Ces critères peuvent être mis en balance avec d’autres, tels que la volonté d'un parent à coopérer avec l'autre ou la nécessité de ne pas séparer la fratrie (arrêt du Tribunal fédéral 5A_834/2012 du 26 février 2013 consid. 4.1).</w:t>
      </w:r>
    </w:p>
    <w:p>
      <w:r>
        <w:t>Lorsqu'il y a plusieurs enfants, le juge évite de les séparer, ce afin d'éviter de compromettre, sans raisons impérieuses, les liens d'affection qui les unissent ainsi que les bénéfices de l'éducation qu'ils ont reçue en commun (ATF 115 II 317 consid. 2; arrêt du Tribunal fédéral 5A_183/2010 du 19 avril 2010 consid. 3.3.1 in fine). La Cour de céans a retenu que s'il est en principe déconseillé de séparer une fratrie, ce principe n'est pas intangible, le juge devant examiner l'ensemble des circonstances au regard de l'intérêt de chaque enfant en particulier (ACJC/1198/2011 du 23 septembre 2011 consid. 2.2).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w:t>
      </w:r>
    </w:p>
    <w:p>
      <w:r>
        <w:rPr>
          <w:b/>
        </w:rPr>
        <w:t>E. 6.2</w:t>
      </w:r>
    </w:p>
    <w:p>
      <w:r>
        <w:t>En l'espèce, il n'est pas contesté que les parties disposent de capacités parentales adéquates pour assurer une bonne prise en charges des enfants. Il est également constant que l'appelant travaille à plein temps – et dispose d'un horaire de travail très flexible – et que l'intimée exerce une activité professionnelle à raison de 10 à 15 heures par semaine.</w:t>
      </w:r>
    </w:p>
    <w:p>
      <w:r>
        <w:t>La Cour retient que l'appelant, auquel la garde de l'adolescent D______ a été confiée par le Tribunal, laquelle n'est pas remise en cause et est dans l'intérêt de celui-ci, doit s'occuper de trois enfants adolescents et du même âge. Le rapport du SPMi a mis en évidence que D______, au vu de ses faibles résultats scolaires, nécessitait un accompagnement soutenu, que l'appelant était à même d'assurer.</w:t>
      </w:r>
    </w:p>
    <w:p>
      <w:r>
        <w:t>Par ailleurs, avec le SPMi, au vu du jeune âge de C______ et du fait qu'il passe plus de temps avec l'intimée qu'avec l'appelant, il est dans l'intérêt et le bien de l'enfant que sa garde soit assurée par la mère. C______ passe par ailleurs tous les mercredis avec elle. L'intimé est d'ailleurs très engagée et investie dans les suivis médicaux, les repas, le suivi scolaire et l'éducation de C______.</w:t>
      </w:r>
    </w:p>
    <w:p>
      <w:r>
        <w:t>De surcroît, D______ et ses deux frères, sont scolarisés au Cycle d'orientation, alors que C______ fréquente l'école primaire et la différence d'âge entre celui-ci et ses frères est importante (7 ans).</w:t>
      </w:r>
    </w:p>
    <w:p>
      <w:r>
        <w:t>- 13/16 -</w:t>
      </w:r>
    </w:p>
    <w:p>
      <w:r>
        <w:t>C/14363/2014</w:t>
      </w:r>
    </w:p>
    <w:p>
      <w:r>
        <w:t>Ainsi, la séparation de la fratrie est dans le cas d'espèce conforme à l'intérêt de l'enfant C______, de sorte qu'il se justifie que sa garde soit confiée à la mère.</w:t>
      </w:r>
    </w:p>
    <w:p>
      <w:r>
        <w:t>La Cour relève que cette séparation est atténuée par le large droit de visite en faveur de l'appelant fixé par le Tribunal, non remis en cause par les parties en tant que tel et conforme à l'intérêt de l'ensemble des enfants. En effet, ces derniers passeront, chaque semaine, des moments ensemble le mardi soir à la sortie de l'école jusqu'au mercredi matin, un week-end sur deux, du vendredi à la sortie de l'école jusqu'au lundi matin, ainsi que la moitié des vacances scolaires.</w:t>
      </w:r>
    </w:p>
    <w:p>
      <w:r>
        <w:rPr>
          <w:b/>
        </w:rPr>
        <w:t>E. 6.3</w:t>
      </w:r>
    </w:p>
    <w:p>
      <w:r>
        <w:t>Par conséquent, l'appelant sera débouté de ses conclusions et les ch. 4 et 5 du jugement querellé seront confirmés.</w:t>
      </w:r>
    </w:p>
    <w:p>
      <w:r>
        <w:rPr>
          <w:b/>
        </w:rPr>
        <w:t>E. 6.4</w:t>
      </w:r>
    </w:p>
    <w:p>
      <w:r>
        <w:t>L'appelant a contesté la contribution à l'entretien de C______, en lien avec la remise en cause de l'attribution du droit de garde. Dans la mesure où la quotité de la contribution n'est pas contestée, et que la garde de l'enfant est attribuée à l'intimée, il se justifie également de confirmer la contribution fixée par le Tribunal, à 700 fr. par mois à compter du départ de C______ du domicile conjugal. Celle-ci est d'ailleurs conforme aux revenus et charges des parties.</w:t>
      </w:r>
    </w:p>
    <w:p>
      <w:r>
        <w:rPr>
          <w:b/>
        </w:rPr>
        <w:t>E. 7.1</w:t>
      </w:r>
    </w:p>
    <w:p>
      <w:r>
        <w:t>Lorsque la Cour de céans statue à nouveau, elle se prononce sur les frais fixés par le Tribunal de première instance (art. 318 al. 3 CPC).</w:t>
      </w:r>
    </w:p>
    <w:p>
      <w:r>
        <w:t>Le premier juge a mis les frais judiciaires, arrêtés à 900 fr., à la charge des parties pour moitié chacune et n'a pas alloué de dépens. A défaut de grief motivé concernant les frais de première instance et au vu de l'issue du litige, il n'y a pas lieu de modifier la décision du premier juge sur ces points, de sorte que les ch. 10 et 11 seront confirmés.</w:t>
      </w:r>
    </w:p>
    <w:p>
      <w:r>
        <w:rPr>
          <w:b/>
        </w:rPr>
        <w:t>E. 7.2</w:t>
      </w:r>
    </w:p>
    <w:p>
      <w:r>
        <w:t>Les frais d'appel, arrêtés à 1'325 fr. (art. 30 al. 1 et 35 RTFD), seront mis à la charge des parties pour moitié chacune, compte tenu de la nature familiale du litige (art. 95 et 107 al. 1 let. c CPC), partiellement compensés par l'avance de frais du même montant fournie par l'appelant, acquise à l'Etat (art. 111 al. 1 CPC). La part de l'intimée de 662 fr. 50 sera provisoirement supportée par l'Etat (art. 122 al. 1 let. b et 123 al. 1 CPC; art. 19 RAJ), l'intimée plaidant au bénéfice de l'assistance juridique.</w:t>
      </w:r>
    </w:p>
    <w:p>
      <w:r>
        <w:t>En conséquence, la somme de 662 fr. 50 sera restituée à l'appelant.</w:t>
      </w:r>
    </w:p>
    <w:p>
      <w:r>
        <w:t>Les parties supporteront par ailleurs leurs propres dépens.</w:t>
      </w:r>
    </w:p>
    <w:p>
      <w:r>
        <w:rPr>
          <w:b/>
        </w:rPr>
        <w:t>E. 8</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w:t>
      </w:r>
    </w:p>
    <w:p>
      <w:r>
        <w:t>- 14/16 -</w:t>
      </w:r>
    </w:p>
    <w:p>
      <w:r>
        <w:t>C/14363/2014 contre une décision portant sur des mesures provisionnelles, seule peut être invoquée la violation de droits constitutionnels (art. 98 LTF). * * * * *</w:t>
      </w:r>
    </w:p>
    <w:p>
      <w:r>
        <w:t>- 15/16 -</w:t>
      </w:r>
    </w:p>
    <w:p>
      <w:r>
        <w:t>C/14363/2014 PAR CES MOTIFS, La Chambre civile : A la forme : Déclare recevable l'appel interjeté le 12 mars 2015 par A______ contre les chiffres 4, 5 et 9 du dispositif du jugement JTPI/2524/2015 rendu le 27 février 2015 par le Tribunal de première instance dans la cause C/14363/2014-5. Au fond : Confirme ce jugement. Déboute les parties de toutes autres conclusions. Sur les frais : Arrête les frais à 1'325 fr. et les met à la charge des parties pour moitié chacune. Les compense à due concurrence avec l'avance de frais de 662 fr. 50 fournie par A______, acquise à l'Etat. Dit que la part de 662 fr. 50 à charge de B______ est provisoirement supportée par l'Etat de Genève. Ordonne aux Services financiers du Pourvoir judiciaire de restituer la somme de 662 fr. 50 à A______. Dit que chacune des parties conserve à sa charge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- 16/16 -</w:t>
      </w:r>
    </w:p>
    <w:p>
      <w:r>
        <w:t>C/14363/2014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