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ACJC/1066/2020 vom 27. Juli 2020</w:t>
      </w:r>
    </w:p>
    <w:p>
      <w:r>
        <w:t>GE Cour de justice, 2020-07-27, FR</w:t>
      </w:r>
    </w:p>
    <w:p>
      <w:r>
        <w:rPr>
          <w:b/>
        </w:rPr>
        <w:t xml:space="preserve">Quelle: </w:t>
      </w:r>
      <w:r>
        <w:t>https://mcp.opencaselaw.ch/entscheid/ge_gerichte_ACJC_1066_2020</w:t>
      </w:r>
    </w:p>
    <w:p>
      <w:r>
        <w:t>FR: GE_GERICHTE ACJC/1066/2020 du 27 juillet 2020</w:t>
      </w:r>
    </w:p>
    <w:p>
      <w:r>
        <w:t>IT: GE_GERICHTE ACJC/1066/2020 del 27 luglio 2020</w:t>
      </w:r>
    </w:p>
    <w:p>
      <w:pPr>
        <w:pStyle w:val="Heading2"/>
      </w:pPr>
      <w:r>
        <w:t>Erwägungen</w:t>
      </w:r>
    </w:p>
    <w:p>
      <w:r>
        <w:rPr>
          <w:b/>
        </w:rPr>
        <w:t>E. 1.1</w:t>
      </w:r>
    </w:p>
    <w:p>
      <w:r>
        <w:t>En matière de mainlevée d'opposition, seule la voie du recours est ouverte (art. 309 let. b ch. 3 et 319 lit. a CPC). La procédure sommaire s'applique (art. 251 let. a CPC).</w:t>
      </w:r>
    </w:p>
    <w:p>
      <w:r>
        <w:t>- 5/9 -</w:t>
      </w:r>
    </w:p>
    <w:p>
      <w:r>
        <w:t>C/21401/2019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1.5</w:t>
      </w:r>
    </w:p>
    <w:p>
      <w:r>
        <w:t>Les conclusions, allégations de fait et preuves nouvelles sont irrecevables dans le cadre d'un recours (art. 326 CPC). Dès lors, les pièces nouvellement versées par l'intimée sont irrecevables, ainsi que les allégués de fait s'y rapportant. Par ailleurs, la conclusion nouvelle formée par l'intimée dans sa duplique est également irrecevable.</w:t>
      </w:r>
    </w:p>
    <w:p>
      <w:r>
        <w:rPr>
          <w:b/>
        </w:rPr>
        <w:t>E. 2</w:t>
      </w:r>
    </w:p>
    <w:p>
      <w:r>
        <w:t>Le recourant reproche au Tribunal d'avoir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w:t>
      </w:r>
    </w:p>
    <w:p>
      <w:r>
        <w:t>- 6/9 -</w:t>
      </w:r>
    </w:p>
    <w:p>
      <w:r>
        <w:t>C/21401/2019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En particulier, le contrat d'entreprise vaut reconnaissance de dette pour le prix convenu, si l'entrepreneur établit avoir exécuté sa prestation.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w:t>
      </w:r>
    </w:p>
    <w:p>
      <w:r>
        <w:t>- 7/9 -</w:t>
      </w:r>
    </w:p>
    <w:p>
      <w:r>
        <w:t>C/21401/2019 Des factures ne valent pas reconnaissance de dette et ce, même si elles ne sont pas contestées (arrêt du Tribunal fédéral 5P.290/2006 du 12 octobre 2006 consid. 3.2).</w:t>
      </w:r>
    </w:p>
    <w:p>
      <w:r>
        <w:rPr>
          <w:b/>
        </w:rPr>
        <w:t>E. 2.2</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w:t>
      </w:r>
    </w:p>
    <w:p>
      <w:r>
        <w:rPr>
          <w:b/>
        </w:rPr>
        <w:t>E. 2.3</w:t>
      </w:r>
    </w:p>
    <w:p>
      <w:r>
        <w:t>Selon l'art. 82 al. 2 LP, le juge prononce la mainlevée si le débiteur ne rend pas immédiatement vraisemblable sa libération. Le poursuivi peut en outre faire échec à la mainlevée en rendant immédiatement vraisemblable sa libération (art. 82 al. 2 LP). Par extinction de la dette, la loi ne vise pas seulement le paiement, mais aussi toute autre cause de droit civil, en particulier la compensation (art. 120 ss CO; ATF 124 III 501 consid. 3b et les références; STAEHELIN, op. cit., n. 93 s. ad art. 82 LP; GILLIERON, op. cit., n. 81 ad art. 82 LP). Par titre exécutoire prouvant l'extinction par compensation, on entend celui qui justifierait lui-même la mainlevée définitive ou à tout le moins la mainlevée provisoire (ATF 115 III 97 consid. 4; arrêt du Tribunal fédéral 5P_459/2002 du 29 janvier 2003 consid. 2.2.1).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w:t>
      </w:r>
    </w:p>
    <w:p>
      <w:r>
        <w:t>- 8/9 -</w:t>
      </w:r>
    </w:p>
    <w:p>
      <w:r>
        <w:t>C/21401/2019 Lorsque le débiteur se prévaut de la compensation, il doit alors établir au degré de la vraisemblance le principe, l'exigibilité et le montant de la créance compensante (arrêts du Tribunal fédéral 5A_467/2015 du 25 août 2016 consid. 3.2, publié in : SJ 2016 I 481; 5A_83/2011 du 2 septembre 2011 consid. 6.1 et les références). Le dépôt d'une action en justice ou l'introduction d'une poursuite à l'encontre du poursuivant ne rend pas vraisemblable la créance opposée en compensation (arrêt du Tribunal fédéral 5A_833/2017 du 8 mars 2018 consid. 2.2; VEUILLET, op. cit., n. 127 ad art. 82 LP avec les références).</w:t>
      </w:r>
    </w:p>
    <w:p>
      <w:r>
        <w:rPr>
          <w:b/>
        </w:rPr>
        <w:t>E. 2.4</w:t>
      </w:r>
    </w:p>
    <w:p>
      <w:r>
        <w:t>Dans le présent cas, le recourant ne conteste à bon droit pas l'existence d'une reconnaissance de dette relativement aux travaux convenus dans le contrat d'entreprise, justifiant le prononcé de la mainlevée provisoire de l'opposition. Les factures que le recourant a produites à l'appui de son exception de compensation ne rendent pas immédiatement vraisemblable qu'il serait titulaire de créances à ce titre à l'encontre de l'intimée. En effet, le recourant n'a pas rendu vraisemblable qu'il était en droit de régler directement les factures par l'exécution par substitution et d'en réclamer le remboursement à l'intimée. Les factures du matériel dont le poursuivant a été autorisé par l'intimée le 21 novembre 2018 ont été portées en déduction de la facture finale et ne font pas l'objet de la poursuite. Par ailleurs, le dossier ne permet pas de déterminer si un retard dans l'exécution des travaux existait ni si l'intimée en était responsable. Il est rappelé à cet égard qu'il n'appartient pas au juge de la mainlevée de trancher des questions délicates de droit matériel ou pour la solution desquelles le pouvoir d'appréciation joue un rôle important. Cet examen relève de la compétence du juge du fond. Le recourant n'a ainsi pas rendu vraisemblable l'extinction partielle par compensation de la dette requise en poursuite. Le recours sera, dès lors, rejeté.</w:t>
      </w:r>
    </w:p>
    <w:p>
      <w:r>
        <w:rPr>
          <w:b/>
        </w:rPr>
        <w:t>E. 3</w:t>
      </w:r>
    </w:p>
    <w:p>
      <w:r>
        <w:t>Les frais judiciaires du recours seront arrêtés à 750 fr. (art. 48 et 61 OELP). Ils seront mis à la charge du recourant, qui succombe (art. 106 al. 1 CPC) et compensés avec l'avance effectuée, laquelle demeure acquise à l'Etat de Genève (art. 111 al. 1 CPC). L'intimée n'ayant pas - valablement - sollicité de dépens, il ne lui en sera pas alloué (art. 95 al. 3 let. c CPC; ATF 139 III 334 consid. 4.3). * * * * *</w:t>
      </w:r>
    </w:p>
    <w:p>
      <w:r>
        <w:t>- 9/9 -</w:t>
      </w:r>
    </w:p>
    <w:p>
      <w:r>
        <w:t>C/21401/2019</w:t>
      </w:r>
    </w:p>
    <w:p>
      <w:r>
        <w:t>PAR CES MOTIFS, La Chambre civile : A la forme : Déclare recevable le recours interjeté le 28 avril 2020 par A______ contre le jugement JTPI/4602/2020 rendu le 20 avril 2020 par le Tribunal de première instance dans la cause C/21401/2019-8 SML. Au fond : Le rejette. Déboute les parties de toutes autres conclusions. Sur les frais : Arrête les frais judiciaires du recours à 750 fr., compensés avec l'avance de frais fournie, acquise à l'Etat de Genève, et les met à la charge de A______. Dit qu'il n'est pas alloué de dépens de recours. Siégeant : Madame Nathalie LANDRY-BARTHE, présidente; Madame Pauline ERARD et Monsieur Laurent RIEBEN,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