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ACJC/1066/2014 vom 12. September 2014</w:t>
      </w:r>
    </w:p>
    <w:p>
      <w:r>
        <w:t>GE Cour de justice, 2014-09-12, FR</w:t>
      </w:r>
    </w:p>
    <w:p>
      <w:r>
        <w:rPr>
          <w:b/>
        </w:rPr>
        <w:t xml:space="preserve">Quelle: </w:t>
      </w:r>
      <w:r>
        <w:t>https://mcp.opencaselaw.ch/entscheid/ge_gerichte_ACJC_1066_2014</w:t>
      </w:r>
    </w:p>
    <w:p>
      <w:r>
        <w:t>FR: GE_GERICHTE ACJC/1066/2014 du 12 septembre 2014</w:t>
      </w:r>
    </w:p>
    <w:p>
      <w:r>
        <w:t>IT: GE_GERICHTE ACJC/1066/2014 del 12 settembre 2014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w:t>
      </w:r>
    </w:p>
    <w:p>
      <w:r>
        <w:rPr>
          <w:b/>
        </w:rPr>
        <w:t>E. 1.2</w:t>
      </w:r>
    </w:p>
    <w:p>
      <w:r>
        <w:t>Selon l'art. 321 al. 2 CPC, le recours doit être écrit et motivé.</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3 let b CPC sont réunies (JEANDIN, in BOHNET/HALDY/ JEANDIN/SCHWEIZER/TAPPY, Code de procédure civile commenté, Bâle, 2011 n. 4 et 5 ad art. 321 CPC).</w:t>
      </w:r>
    </w:p>
    <w:p>
      <w:r>
        <w:t>Une motivation succincte ou sommaire peut, suivant les circonstances, être suffisante (REETZ/THEILER, in SUTTER-SOMM/HASENBÖHLER/LEUENBERGER, Kommentar zur Schweizerischen Zivilprozessordnung [ZPO], 2013, n. 37 s. ad art. 311 CPC; cf. aussi ACJC/569/2012 consid. 1.2.2; ACJC/672/2011 consid. 2).</w:t>
      </w:r>
    </w:p>
    <w:p>
      <w:r>
        <w:t>- 6/10 -</w:t>
      </w:r>
    </w:p>
    <w:p>
      <w:r>
        <w:t>C/25022/2013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w:t>
      </w:r>
    </w:p>
    <w:p>
      <w:r>
        <w:t>Dans le cas d'espèce, le recours, rédigé par un justiciable agissant en personne, répond aux exigences de motivation précitées. La Cour comprend que la recourante sollicite la mise à néant du jugement entrepris et le rejet de la requête de mainlevée définitive de l'opposition formée au commandement de payer, en prétendant qu'il résulte de la plainte pénale déposée par D______ contre l'AFC que les sommes réclamées ne sont pas dues. La recourante se prévaut en outre de la prescription.</w:t>
      </w:r>
    </w:p>
    <w:p>
      <w:r>
        <w:rPr>
          <w:b/>
        </w:rPr>
        <w:t>E. 1.3</w:t>
      </w:r>
    </w:p>
    <w:p>
      <w:r>
        <w:t>Le recours est ainsi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 ci a rendu la décision attaquée. Cependant, le moyen libératoire pris de la prescription d'une créance de droit public doit être soulevé d'office (GILLIERON, Commentaire de la loi fédérale sur la poursuite pour dettes et la faillite, 1999, n. 46 ad art. 81 LP) lorsqu'un particulier est débiteur de l'État (ATF 133 II 366 – JdT 2007 II 54 p. 56; 106 Ib 357 consid. 3a).</w:t>
      </w:r>
    </w:p>
    <w:p>
      <w:r>
        <w:t>- 7/10 -</w:t>
      </w:r>
    </w:p>
    <w:p>
      <w:r>
        <w:t>C/25022/2013</w:t>
      </w:r>
    </w:p>
    <w:p>
      <w:r>
        <w:rPr>
          <w:b/>
        </w:rPr>
        <w:t>E. 2.3</w:t>
      </w:r>
    </w:p>
    <w:p>
      <w:r>
        <w:t>Au vu de ce qui précède, l'exception de prescription, invoquée par la recourante pour la première fois en appel, est recevable. Les pièces nouvelles produites par les parties et les allégués de fait s'y rapportant seront déclarés irrecevables, à l'exception de ceux permettant d'examiner la question de la prescription des créances relatives aux rappels d'impôt.</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r>
        <w:rPr>
          <w:b/>
        </w:rPr>
        <w:t>E. 3.2</w:t>
      </w:r>
    </w:p>
    <w:p>
      <w:r>
        <w:t>Il n'est pas contesté que les bordereaux de rappel d'impôts 2001, 2002 et 2003 du 22 août 2008 sont des décisions valant titre de mainlevée définitive au sens de la disposition précitée, dans la mesure où la recourante a épuisé sans succès toutes les voies de droit à sa disposition (cf. en fait let. C. c.).</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t>- 8/10 -</w:t>
      </w:r>
    </w:p>
    <w:p>
      <w:r>
        <w:t>C/25022/2013 L'art. 81 al. 1 LP ne vise que la prescription acquise depuis le jugement, et non celle que le poursuivi aurait pu soulever dans le procès au fond (ATF 123 III 213 consid. 5b/cc; arrêt du Tribunal fédéral 5P.309/1997 du 18 septembre 1997 consid. 3a et les références). Le poursuivi n'a pas à prouver par titre la prescription; il suffit qu'il s'en prévale (AMONN/WALTHER, Grundriss des Schuldbetreibungs- und Konkursrechts, 9ème éd., 2013, § 19 n. 54; STAEHELIN, art. 1-158 LP, 2ème éd., 2010, n. 20 ad art. 81 LP; VOCK, Kurzkommentar, SchKG, 2009, n. 6 ad art. 81 LP; WALDER/KULL/KOTTMANN, Bundesgesetz über Schuldbetreibung und Konkurs, tome I, art. 1-158 LP, 4ème éd., 1997, n. 9 ad art. 81 LP). La prescription des créances fiscales est réglée par le droit en vigueur pendant la période fiscale en cause (arrêts du Tribunal fédéral 2C_416/2013 du 5 novembre 2013 consid. 5.1, 2C_267/2010 du 8 avril 2011 consid. 4.1). Les créances relatives aux impôts et aux rappels d'impôt se prescrivent par cinq ans à compter de l'entrée en force de la décision (art. 42 al. 1 de la loi relative à la perception et aux garanties des impôts des personnes physiques et des personnes morales du 26 juin 2008 - LPGIP, entrée en vigueur le 1er janvier 2009, étant relevé que l'art. 47 al. 2 de la loi fédérale sur l'harmonisation des impôts directs des cantons et des communes du 14 décembre 1990 - LHID, directement applicable depuis le 1er janvier 2001 si les dispositions du droit fiscal cantonal s'en écartent (art. 72 al. 1 et 2 LHID), prévoit le même délai de prescription).</w:t>
      </w:r>
    </w:p>
    <w:p>
      <w:r>
        <w:rPr>
          <w:b/>
        </w:rPr>
        <w:t>E. 3.4</w:t>
      </w:r>
    </w:p>
    <w:p>
      <w:r>
        <w:t>En l'espèce, la recourante prétend que la plainte pénale déposée par D______ à l'encontre de l'AFC le 11 novembre 2013 démontre qu'elle n'a aucune dette envers l'AFC. Or, l'on ne discerne pas comment cette procédure pénale, à laquelle d'ailleurs la recourante n'est pas partie, aurait pu remettre en cause le caractère définitif et exécutoire des bordereaux de rappel d'impôts du 22 août 2008. Le bien-fondé de ces décisions, examiné par les diverses autorités saisies par la recourante, n'a pas à être revu dans la présente procédure de mainlevée d'opposition. De même, la Cour n'a pas à examiner la prescription des procédures en rappel d'impôt ICC 2001 à 2003, cette question relevant de la compétence du juge de ces procédures. Par ailleurs, les bordereaux de rappel d'impôt du 22 août 2008 sont entrés en force au plus tôt trente jours après la notification de l'arrêt du 31 juillet 2012 de la Chambre administrative de la Cour, de sorte que la prescription des créances fiscales n'est manifestement pas acquise.</w:t>
      </w:r>
    </w:p>
    <w:p>
      <w:r>
        <w:rPr>
          <w:b/>
        </w:rPr>
        <w:t>E. 3.5</w:t>
      </w:r>
    </w:p>
    <w:p>
      <w:r>
        <w:t>En définitive, c'est à bon droit que le Tribunal a prononcé la mainlevée définitive de l'opposition formée au commandement de payer. Le recours, infondé, sera en conséquence rejeté.</w:t>
      </w:r>
    </w:p>
    <w:p>
      <w:r>
        <w:t>- 9/10 -</w:t>
      </w:r>
    </w:p>
    <w:p>
      <w:r>
        <w:t>C/25022/2013</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500 fr. Partant, l'émolument de la présente décision sera fixé à 700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 * * * *</w:t>
      </w:r>
    </w:p>
    <w:p>
      <w:r>
        <w:t>- 10/10 -</w:t>
      </w:r>
    </w:p>
    <w:p>
      <w:r>
        <w:t>C/25022/2013 PAR CES MOTIFS, La Chambre civile : A la forme : Déclare recevable le recours interjeté par A______ contre le jugement JTPI/2297/2014 rendu le 12 février 2014 par le Tribunal de première instance dans la cause C/25022/2013-7 SML. Au fond : Rejette ce recours. Déboute les parties de toutes autres conclusions. Sur les frais du recours : Arrête les frais judiciaires à 700 fr. et les met à la charge de A______. Dit qu'ils sont compensés par l'avance de frais fournie par A______, acquise à l'Etat. Dit qu'il n'est pas alloué de dépens. Siégeant : Monsieur Patrick CHENAUX, président; Madame Fabienne GEISINGER- MARIÉTHOZ et Monsieur Ivo BUETTI, juges; Madame Céline FERREIRA, greffière.</w:t>
      </w:r>
    </w:p>
    <w:p>
      <w:r>
        <w:t>Le président : Patrick CHENAUX</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