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ACJC/1065/2020 vom 23. Juli 2020</w:t>
      </w:r>
    </w:p>
    <w:p>
      <w:r>
        <w:t>GE Cour de justice, 2020-07-23, FR</w:t>
      </w:r>
    </w:p>
    <w:p>
      <w:r>
        <w:rPr>
          <w:b/>
        </w:rPr>
        <w:t xml:space="preserve">Quelle: </w:t>
      </w:r>
      <w:r>
        <w:t>https://mcp.opencaselaw.ch/entscheid/ge_gerichte_ACJC_1065_2020</w:t>
      </w:r>
    </w:p>
    <w:p>
      <w:r>
        <w:t>FR: GE_GERICHTE ACJC/1065/2020 du 23 juillet 2020</w:t>
      </w:r>
    </w:p>
    <w:p>
      <w:r>
        <w:t>IT: GE_GERICHTE ACJC/1065/2020 del 23 luglio 2020</w:t>
      </w:r>
    </w:p>
    <w:p>
      <w:pPr>
        <w:pStyle w:val="Heading2"/>
      </w:pPr>
      <w:r>
        <w:t>Volltext</w:t>
      </w:r>
    </w:p>
    <w:p>
      <w:r>
        <w:t>Le présent arrêt est communiqué aux parties par plis recommandés du 03.08.2020.</w:t>
      </w:r>
    </w:p>
    <w:p>
      <w:r>
        <w:t>REPUBLIQUE ET</w:t>
      </w:r>
    </w:p>
    <w:p>
      <w:r>
        <w:t>CANTON DE GENEVE POUVOIR JUDICIAIRE C/21853/2019 ACJC/1065/2020 ARRÊT DE LA COUR DE JUSTICE Chambre civile DU JEUDI 23 JUILLET 2020</w:t>
      </w:r>
    </w:p>
    <w:p>
      <w:r>
        <w:t>Entre A______ SA, sise ______ [GE], recourante contre un jugement rendu par la 20ème Chambre du Tribunal de première instance de ce canton le 13 mai 2020, comparant par Me Pierre Fauconnet, avocat, avenue Léon-Gaud 5, 1206 Genève, en l'étude duquel elle fait élection de domicile, et Monsieur B______, domicilié ______ (France), intimé, comparant par Me Alexandre Favre, avocat, avenue de la Roseraie 76A, 1205 Genève, en l'étude duquel il fait élection de domicile.</w:t>
      </w:r>
    </w:p>
    <w:p>
      <w:r>
        <w:t>- 2/4 -</w:t>
      </w:r>
    </w:p>
    <w:p>
      <w:r>
        <w:t>C/21853/2019 Vu le jugement JTPI/5477/2020 du 13 mai 2020, par lequel le Tribunal de première instance, statuant par voie de procédure sommaire, a prononcé la mainlevée définitive de l'opposition formée au commandement de payer, poursuite n° 1______, à hauteur de 5'439 fr. 75 avec intérêts à 5% dès le 1er novembre 2016, sous déduction de 800 fr. (ch. 1 du dispositif), arrêté les frais judiciaires à 400 fr., compensés avec l'avance effectuée (ch. 2), mis à la charge de A______ SA, condamnée à les verser à B______, ainsi que 660 fr. à titre de dépens (ch. 3 et 4); Vu le recours expédié à la Cour le 29 mai 2020, aux termes duquel A______ SA conclut à l'annulation du jugement précité et au prononcé de la mainlevée définitive de l'opposition formée au commandement de payer, poursuite n° 1______, à hauteur de 5'439 fr. 75 avec intérêts à 5% dès le 1er novembre 2017, sous déduction de 800 fr., et à ce qu'il soit statué sur les frais et dépens des deux instances; Vu la réponse au recours du 19 juin 2020, dans laquelle B______ conclut à l'annulation du ch. 1 du dispositif du jugement querellé en tant qu'il prononce la mainlevée définitive de l'opposition formée au commandement de payer, poursuite n° 1______, à hauteur de 5'439 fr. 75 avec intérêts à 5% dès le 1er novembre 2016, sous déduction de 800 fr., et à ce que dite mainlevée soit prononcée, mais avec intérêts à 5% dès le 1er novembre 2017, comme sollicité par la recourante, l'Etat de Genève devant être condamné en tous les frais et dépens; Attendu EN FAIT que par jugement du Tribunal des Prud'hommes du 27 juin 2018, confirmé par arrêt de la Cour du 22 mai 2019, A______ SA a été condamnée à verser à B______ la somme brute de 13'731 fr. 85, avec intérêts moratoires au taux de 5% l'an dès le 1er novembre 2016, la partie qui en a la charge étant invitée à opérer les déductions sociales et légales usuelles; Que le 12 juillet 2019, un commandement de payer, poursuite n° 1______, portant sur la somme de 13'731 fr. 85 avec intérêts à 5% dès le 1er novembre 2016, a été notifié à A______ SA, à la requête de B______, le titre de créance étant l'arrêt de la Cour du 22 mai 2019 précité; Qu'opposition totale y a été formée; Que le 25 septembre 2019, B______ a saisi le Tribunal d'une requête de mainlevée définitive de l'opposition formée au commandement de payer, poursuite n° 1______, à hauteur de 13'731 fr. 85 avec intérêts à 5% dès le 1er novembre 2016, sous suite de frais et dépens; Que par arrêt 4A_319/2019 du 17 mars 2020, le Tribunal fédéral a réformé l'arrêt de la Cour susmentionné et condamné A______ SA à payer à B______ 6'812 fr. 55, montant soumis aux déductions sociales, avec intérêts au taux de 5% par an dès le 1er novembre 2017, et statué sur les frais;</w:t>
      </w:r>
    </w:p>
    <w:p>
      <w:r>
        <w:t>- 3/4 -</w:t>
      </w:r>
    </w:p>
    <w:p>
      <w:r>
        <w:t>C/21853/2019 Que lors de l'audience devant le Tribunal du 13 mai 2020, B______ a réduit ses conclusions, conformément à l'arrêt du Tribunal fédéral; Que A______ SA a reconnu le montant réclamé sous déduction des cotisations sociales qu'elle s'est engagée à verser; Considérant, EN DROIT, qu'en matière de mainlevée d'opposition, seule la voie du recours est ouverte (art. 309 let. b ch. 3 et 319 lit. a CPC); Que la procédure sommaire s'applique (art. 251 let. a CPC); Qu'en l'espèce, le recours, écrit et motivé (art. 130, 131, 321 al. 1 CPC), adressé à la Cour de justice dans un délai de dix jours dès la notification de la décision entreprise (art. 142 al. 1 et 3, 251 let. a, 321 al. 2 CPC), est recevable; Qu'aux termes de l'art. 80 al. 1 LP, le créancier qui est au bénéfice d'un jugement exécutoire peut requérir du juge la mainlevée définitive de l'opposition; Que le juge de la mainlevée se fonde en principe sur le dispositif du jugement dont il n'a pas à revoir le bien-fondé (ATTF 142 III 78); Qu'en l'espèce, seul est remis en cause le dies a quo des intérêts dus; que les parties s'accordent à dire qu'il s'agit du 1er novembre 2017 et non du 1er novembre 2016, comme retenu par le Tribunal; Qu'il sera fait droit aux conclusions de la recourante, non contestées par l'intimé; Que la quotité et la répartition des frais de première instance, arrêtées conformément à la loi, seront confirmées (art. 318 al. 3 CPC); Que les frais judiciaires qui ne sont pas imputables aux parties ni aux tiers peuvent être mis à la charge du canton si l'équité l'exige (art. 107 al. 2 CPC); Que l'application de cette disposition se justifie lorsque les frais judiciaires sont dus à une erreur manifeste du tribunal, qui n'est en rien imputable à l'une des parties (RÜEGG, Basler Kommentar, Schweizerische Zivilprozessordnung, 2013, n. 11 ad art. 107 CPC); Que les frais judiciaires du recours seront laissés à la charge de l'Etat de Genève, vu l'issue du litige (art. 107 al. 2 CPC); Qu'il ne peut être mis de dépens à la charge du canton (ATF 140 III 385 consid. 4.1); Qu'il ne sera pas alloué de dépens à l'intimé, qui a répondu au recours par une simple lettre de son conseil et qui n'a pas conclu à ce que la recourante soit condamnée à lui en verser. * * * * *</w:t>
      </w:r>
    </w:p>
    <w:p>
      <w:r>
        <w:t>- 4/4 -</w:t>
      </w:r>
    </w:p>
    <w:p>
      <w:r>
        <w:t>C/21853/2019 PAR CES MOTIFS, La Chambre civile : A la forme : Déclare recevable le recours interjeté par A______ SA contre le jugement JTPI/5477/2020 rendu le 13 mai 2020 par le Tribunal de première instance dans la cause C/21853/2019-20 SML. Au fond : Annule le chiffre 1 du dispositif de ce jugement et, cela fait, statuant à nouveau : Prononce la mainlevée définitive de l'opposition formée au commandement de payer, poursuite n° 1______, à hauteur de 5'439 fr. 75 avec intérêts à 5% dès le 1er novembre 2017, sous déduction de 800 fr. Confirme le jugement pour le surplus. Sur les frais : Arrête les frais judiciaires du recours à 300 fr. et les met à la charge de l'Etat de Genève. Invite en conséquence l'Etat de Genève, soit pour lui les Services financiers du Pouvoir judiciaire, à restituer à A______ SA la somme de 300 fr. versée à titre d'avance de frais. Dit qu'il n'est pas alloué de dépens. Siégeant : Madame Pauline ERARD, présidente; Madame Sylvie DROIN et Monsieur Laurent RIEBEN, juges; Madame Mélanie DE RESENDE PEREIRA, greffière.</w:t>
      </w:r>
    </w:p>
    <w:p>
      <w:r>
        <w:t>La présidente : Pauline ERARD</w:t>
      </w:r>
    </w:p>
    <w:p>
      <w:r>
        <w:t>La greffière : Mélanie DE RESENDE PEREIRA</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