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ACJC/1064/2014 vom 12. Mai 2014</w:t>
      </w:r>
    </w:p>
    <w:p>
      <w:r>
        <w:t>GE Cour de justice, 2014-05-12, FR</w:t>
      </w:r>
    </w:p>
    <w:p>
      <w:r>
        <w:rPr>
          <w:b/>
        </w:rPr>
        <w:t xml:space="preserve">Quelle: </w:t>
      </w:r>
      <w:r>
        <w:t>https://mcp.opencaselaw.ch/entscheid/ge_gerichte_ACJC_1064_2014</w:t>
      </w:r>
    </w:p>
    <w:p>
      <w:r>
        <w:t>FR: GE_GERICHTE ACJC/1064/2014 du 12 mai 2014</w:t>
      </w:r>
    </w:p>
    <w:p>
      <w:r>
        <w:t>IT: GE_GERICHTE ACJC/1064/2014 del 12 maggio 2014</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présent recours, qui respecte les dispositions précitées, est recevable.</w:t>
      </w:r>
    </w:p>
    <w:p>
      <w:r>
        <w:rPr>
          <w:b/>
        </w:rPr>
        <w:t>E. 2</w:t>
      </w:r>
    </w:p>
    <w:p>
      <w:r>
        <w:t>Le recourant fait grief au premier juge de ne pas avoir retenu que les documents produits constituaient des titres de mainlevée, et affirme que son ordonnance pénale du ______ 2013, entrée en vigueur et exécutoire, représente un tel titre.</w:t>
      </w:r>
    </w:p>
    <w:p>
      <w:r>
        <w:t>- 4/7 -</w:t>
      </w:r>
    </w:p>
    <w:p>
      <w:r>
        <w:t>C/444/2014</w:t>
      </w:r>
    </w:p>
    <w:p>
      <w:r>
        <w:rPr>
          <w:b/>
        </w:rPr>
        <w:t>E. 2.1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nos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2.2</w:t>
      </w:r>
    </w:p>
    <w:p>
      <w:r>
        <w:t>En l'occurrence, la Cour ne dispose pas de moyen de déterminer si la requête déposée devant le premier juge était ou non assortie d'une copie de l'ordonnance pénale du ______ 2013, comme indiqué dans celle-ci. Partant, il n'est pas non plus possible de qualifier le tirage de cette décision déposé en annexe au recours de pièce nouvelle ou de pièce figurant déjà au dossier.</w:t>
      </w:r>
    </w:p>
    <w:p>
      <w:r>
        <w:t>Au vu de ces circonstances particulières, il sera retenu que ce titre est recevable.</w:t>
      </w:r>
    </w:p>
    <w:p>
      <w:r>
        <w:t>Au demeurant, aucun élément de la procédure ne conduit à douter de l'existence de la décision exécutoire du ______ 2013, qui a été expressément visée, avec son numéro de procédure, dans les courriers du recourant des 9 septembre et 13 décembre 2013, indubitablement versés en première instance.</w:t>
      </w:r>
    </w:p>
    <w:p>
      <w:r>
        <w:t>- 5/7 -</w:t>
      </w:r>
    </w:p>
    <w:p>
      <w:r>
        <w:t>C/444/2014</w:t>
      </w:r>
    </w:p>
    <w:p>
      <w:r>
        <w:t>L'intimé lui-même n'a contesté ni l'existence de cette ordonnance pénale ni le fait qu'il en avait eu connaissance, se limitant à affirmer, sans aucune preuve à l'appui, avoir formé opposition à la décision pénale. Cet allégué est contredit par la mention "Rechtskraft" dont est assortie l'ordonnance pénale et par les deux courriers susmentionnés, qui ne s'expliqueraient pas si une procédure d'opposition avait été initiée.</w:t>
      </w:r>
    </w:p>
    <w:p>
      <w:r>
        <w:t>Il s'ensuit que l'ordonnance pénale du ______ 2013, portant condamnation à payer 160 fr., est entrée en force. Elle représente un titre de mainlevée définitive au sens de l'art. 80 LP, à concurrence du montant contenu dans ce titre, auquel s'ajoutent les intérêts moratoires dus, objets du commandement de payer.</w:t>
      </w:r>
    </w:p>
    <w:p>
      <w:r>
        <w:t>Pour le surplus, il sera rappelé que les frais de ce commandement de payer suivent le sort de la poursuite (art. 68 LP), de sorte qu'ils ne font pas l'objet de la mainlevée d'opposition.</w:t>
      </w:r>
    </w:p>
    <w:p>
      <w:r>
        <w:t>Dès lors, le recours sera admis dans les limites de ce qui précède, le jugement attaqué annulé et il sera statué à nouveau (art. 327 al. 3 let. b CPC), dans le sens sus-indiqué. 3. L'intimé, qui succombe pour l'essentiel, supportera les frais des deux instances de la procédure (art. 106 al. 1 CPC), arrêtés à 150 fr. pour la procédure de recours, compensés par l'avance du même montant, acquise à l'Etat (art. 111 al. 1 CPC). * * * * *</w:t>
      </w:r>
    </w:p>
    <w:p>
      <w:r>
        <w:t>- 6/7 -</w:t>
      </w:r>
    </w:p>
    <w:p>
      <w:r>
        <w:t>C/444/2014 PAR CES MOTIFS, La Chambre civile : A la forme : Déclare recevable le recours interjeté par le CANTON DE LUCERNE - STAATSANWALTSCHAFT contre le jugement JTPI/5823/2014 rendu le 12 mai 2014 par le Tribunal de première instance dans la cause C/444/2014-8 SML. Au fond : Annule ce jugement. Cela fait, statuant à nouveau : Prononce la mainlevée définitive de l'opposition formée au commandement de payer, poursuite n° 2______. Déboute les parties de toutes autres conclusions. Sur les frais des deux instances : Arrête les frais à 250 fr., couverts par les avances déjà opérées, acquises à l'Etat de Genève. Les met à la charge de A______. Condamne A______ à verser 250 fr. au CANTON DE LUCERNE, STAATSANWALTSCHAFT. Dit qu'il n'est pas alloué de dépens. Siégeant : Madame Sylvie DROIN, présidente; Madame Nathalie LANDRY-BARTHE et Monsieur Laurent RIEBEN, juges; Madame Céline FERREIRA, greffière.</w:t>
      </w:r>
    </w:p>
    <w:p>
      <w:r>
        <w:t>La présidente : Sylvie DROIN</w:t>
      </w:r>
    </w:p>
    <w:p>
      <w:r>
        <w:t>La greffière : Céline FERREIRA</w:t>
      </w:r>
    </w:p>
    <w:p>
      <w:r>
        <w:t>- 7/7 -</w:t>
      </w:r>
    </w:p>
    <w:p>
      <w:r>
        <w:t>C/444/2014</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2ème éd. en 2010,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Le juge doit ordonner la mainlevée définitive de l'opposition, à moins que l'opposant ne prouve par titre que la dette a été éteinte ou qu'il a obtenu un sursis, postérieurement au jugement, ou qu'il ne se prévale de la prescription (art. 81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