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ACJC/1062/2014 vom 12. September 2014</w:t>
      </w:r>
    </w:p>
    <w:p>
      <w:r>
        <w:t>GE Cour de justice, 2014-09-12, FR</w:t>
      </w:r>
    </w:p>
    <w:p>
      <w:r>
        <w:rPr>
          <w:b/>
        </w:rPr>
        <w:t xml:space="preserve">Quelle: </w:t>
      </w:r>
      <w:r>
        <w:t>https://mcp.opencaselaw.ch/entscheid/ge_gerichte_ACJC_1062_2014</w:t>
      </w:r>
    </w:p>
    <w:p>
      <w:r>
        <w:t>FR: GE_GERICHTE ACJC/1062/2014 du 12 septembre 2014</w:t>
      </w:r>
    </w:p>
    <w:p>
      <w:r>
        <w:t>IT: GE_GERICHTE ACJC/1062/2014 del 12 settembre 2014</w:t>
      </w:r>
    </w:p>
    <w:p>
      <w:pPr>
        <w:pStyle w:val="Heading2"/>
      </w:pPr>
      <w:r>
        <w:t>Volltext</w:t>
      </w:r>
    </w:p>
    <w:p>
      <w:r>
        <w:t>Le présent arrêt est communiqué aux parties par plis recommandés du 17.09.2014.</w:t>
      </w:r>
    </w:p>
    <w:p>
      <w:r>
        <w:t>REPUBLIQUE ET</w:t>
      </w:r>
    </w:p>
    <w:p>
      <w:r>
        <w:t>CANTON DE GENEVE POUVOIR JUDICIAIRE C/26661/2013 ACJC/1062/2014 ARRÊT DE LA COUR DE JUSTICE Chambre civile DU VENDREDI 12 SEPTEMBRE 2014</w:t>
      </w:r>
    </w:p>
    <w:p>
      <w:r>
        <w:t>Entre Monsieur A______, domicilié ______, appelant d'un jugement rendu par la 11ème Chambre du Tribunal de première instance de ce canton le 12 mai 2014, comparant par Me Samir Djaziri, avocat, 22, rue de l'Athénée, 1206 Genève, en l'étude duquel il fait élection de domicile, et Madame B______, sans domicile connu, intimée, comparant par Me Tania Nicolini, avocate, 72, boulevard de Saint-Georges, 1205 Genève, en l'étude de laquelle elle fait élection de domicile.</w:t>
      </w:r>
    </w:p>
    <w:p>
      <w:r>
        <w:t>- 2/4 -</w:t>
      </w:r>
    </w:p>
    <w:p>
      <w:r>
        <w:t>C/26661/2013 Vu, EN FAIT, le jugement JTPI/5668/2014 du 12 mai 2014, notifié à A______ le 14 mai 2014, aux termes duquel le Tribunal de première instance, statuant sur requête de mesures protectrices de l'union conjugale, a autorisé A______ et B______ à vivre séparés, attribué la jouissance exclusive du domicile conjugal au mari et condamné celui-ci à verser à son épouse une contribution mensuelle de 695 fr. dès le 1er octobre 2013 (ch. 3); Vu l'appel déposé le 26 mai 2014 par A______ au greffe de la Cour de justice par lequel il conteste ce dernier point, concluant à ce qu'il soit constaté qu'aucune contribution d'entretien ne doit être versée en faveur de l'un ou l'autre des époux; Vu la demande d'octroi de l'effet suspensif formée par l'appelant, celui-ci expliquant que la contribution d'entretien fixée par le Tribunal le réduit à son minimum vital, alors que son épouse devrait, selon toute vraisemblance, obtenir un travail à C______ dès le 15 juin 2014 lui permettant de réaliser un salaire mensuel de 4'029 fr. 10; Que l'intimée conclut au rejet de la requête d'effet suspensif, relevant que son mari ne lui a versé aucun montant depuis le prononcé du jugement querellé, que si la Cour devait réduire le montant de la contribution d'entretien, le trop-perçu pourrait être compensé et qu'en cas d'exécution forcée de l'obligation d'entretien, le minimum vital de l'appelant serait en toute hypothèse préservé, de sorte que celui-ci ne risque pas de subir un préjudice difficilement réparable si la suspension de l'effet exécutoire du jugement n'était pas prononcée;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w:t>
      </w:r>
    </w:p>
    <w:p>
      <w:r>
        <w:t>- 3/4 -</w:t>
      </w:r>
    </w:p>
    <w:p>
      <w:r>
        <w:t>C/26661/2013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l'appelant allègue que son disponible mensuel se monte à 798 fr. 90; Qu'au vu de ce montant et de la contribution d'entretien fixée par le Tribunal à 695 fr. par mois, il n'apparaît pas que le minimum vital de l'appelant soit atteint, de sorte que le risque d'un préjudice difficilement réparable doit être nié; Que, par ailleurs, si la Cour devait réduire la contribution d'entretien, l'appelant pourra compenser le montant versé en trop, comme l'indique l'intimée; Qu'au vu de ce qui précède, il ne se justifie pas de suspendre l'effet exécutoire du jugement querellé;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C/26661/2013 PAR CES MOTIFS, La Chambre civile : Statuant sur suspension de l'exécution : Rejette la requête de A______ tendant à la suspension de l'effet exécutoire attaché au jugement JTPI/5668/2014 rendu le 12 mai 2014 par le Tribunal de première instance dans la procédure C/26661/2013-11.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