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ACJC/1061/2017 vom 25. August 2017</w:t>
      </w:r>
    </w:p>
    <w:p>
      <w:r>
        <w:t>GE Cour de justice, 2017-08-25, FR</w:t>
      </w:r>
    </w:p>
    <w:p>
      <w:r>
        <w:rPr>
          <w:b/>
        </w:rPr>
        <w:t xml:space="preserve">Quelle: </w:t>
      </w:r>
      <w:r>
        <w:t>https://mcp.opencaselaw.ch/entscheid/ge_gerichte_ACJC_1061_2017</w:t>
      </w:r>
    </w:p>
    <w:p>
      <w:r>
        <w:t>FR: GE_GERICHTE ACJC/1061/2017 du 25 août 2017</w:t>
      </w:r>
    </w:p>
    <w:p>
      <w:r>
        <w:t>IT: GE_GERICHTE ACJC/1061/2017 del 25 agosto 2017</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Le recours ayant été interjeté dans le délai et les formes prévus par la loi, il est par conséquent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w:t>
      </w:r>
    </w:p>
    <w:p>
      <w:r>
        <w:t>- 7/13 -</w:t>
      </w:r>
    </w:p>
    <w:p>
      <w:r>
        <w:t>C/21115/2016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 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w:t>
      </w:r>
    </w:p>
    <w:p>
      <w:r>
        <w:rPr>
          <w:b/>
        </w:rPr>
        <w:t>E. 2.2</w:t>
      </w:r>
    </w:p>
    <w:p>
      <w:r>
        <w:t>Les conclusions, les allégations de faits et les preuves nouvelles sont irrecevables (art. 326 al. 1 CPC). En l'espèce, le recourant produit à l'appui de son recours une quinzaine de pièces, dont la plupart n'ont pas été soumises au Tribunal. Ces dernières ne seront dès lors pas prises en considération.</w:t>
      </w:r>
    </w:p>
    <w:p>
      <w:r>
        <w:rPr>
          <w:b/>
        </w:rPr>
        <w:t>E. 3</w:t>
      </w:r>
    </w:p>
    <w:p>
      <w:r>
        <w:t>A titre préalable, le recourant sollicite la suspension de la présente procédure jusqu'à ce que la décision rendue par le Tribunal le 12 décembre 2016 soit définitive et exécutoire et jusqu'à ce que l'intimée et son fils transmettent à la Cour la preuve de leur domicile officiel au Maroc, ainsi qu'une procuration comportant une signature de son fils légalisée par les autorités marocaines. 3.1.1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 JdT 2011 II 402; 119 II 386 consid. 1b; arrêt du Tribunal fédéral 5A_218/2013 du 17 avril 2013 consid. 3).</w:t>
      </w:r>
    </w:p>
    <w:p>
      <w:r>
        <w:t>- 8/13 -</w:t>
      </w:r>
    </w:p>
    <w:p>
      <w:r>
        <w:t>C/21115/2016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3.1.2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 son nom, on peut déduire le caractère prompt et sans grande formalité de la procédure sommaire. Ces deux caractéristiques découlent de la finalité de cette procédure, à savoir le prononcé rapide d'une décision qui ne tranche que provi- soirement le litige (BOHNET, La procédure sommaire, in Procédure civile suisse, Les grands thèmes pour les praticiens, 2010, p. 193 ss, spéc. p. 196 n. 5). Appelé à se prononcer sur un arrêt cantonal refusant de suspendre la procédure de mainlevée jusqu'à l'issue d'un procédure en modification du jugement au fond, exécutoire et invoqué comme titre de mainlevée, le Tribunal fédéral a retenu qu'en matière de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w:t>
      </w:r>
    </w:p>
    <w:p>
      <w:r>
        <w:rPr>
          <w:b/>
        </w:rPr>
        <w:t>E. 3.2</w:t>
      </w:r>
    </w:p>
    <w:p>
      <w:r>
        <w:t>En l'espèce, le recourant ne formule pas expressément de grief contre la décision du Tribunal - certes implicite - de ne pas donner suite à ses conclusions tendant à la suspension de la présente procédure jusqu'à droit définitivement jugé sur la modification du jugement de divorce. Il se contente de reprendre ses conclusions préalables en ce sens, en y ajoutant deux conditions jusqu'à l'accomplissement desquelles la procédure devrait demeurer suspendue. A supposer que de telles conclusions soient recevables, nonobstant le défaut de motivation (cf. art. 321 al. 1 CPC) et l'irrecevabilité de conclusions nouvelles dans le cadre d'un recours (art. 326 al. 1 CPC), il n'y a pas lieu d'y donner suite. Il découle en effet des principes rappelés ci-dessus qu'il n'existe pas de risque de contrariété lié à l'existence d'une procédure connexe en modification de jugement</w:t>
      </w:r>
    </w:p>
    <w:p>
      <w:r>
        <w:t>- 9/13 -</w:t>
      </w:r>
    </w:p>
    <w:p>
      <w:r>
        <w:t>C/21115/2016 de divorce, la présente procédure n'ayant pour objet qu'une question de procédure d'exécution forcée et le jugement rendu sur la mainlevée définitive étant dépourvu d'autorité de chose jugée hors des poursuites concernées. Les allégations du recourant selon lesquelles l'intimée et son fils useraient d'une adresse fictive au Maroc - l'empêchant par hypothèse d'obtenir le recouvrement dans ce pays d'éventuelles sommes versées en trop - ne reposent par ailleurs que sur des pièces nouvelles, irrecevables. Elles ne permettent donc pas de vérifier qu'il serait nécessaire de suspendre la présente procédure jusqu'à ce que l'intimée fournisse une attestation officielle de son domicile à l'étranger. De même, il n'y a pas lieu de surseoir à statuer afin que l'intimée justifie de son pouvoir de représenter son fils majeur, l'intimée demeurant légitimée à agir en son nom pour les motifs qui seront exposés sous consid. 4 ci-dessous. Par conséquent, le recourant sera débouté de ses conclusions préalables tendant à la suspension de la présente procédure.</w:t>
      </w:r>
    </w:p>
    <w:p>
      <w:r>
        <w:rPr>
          <w:b/>
        </w:rPr>
        <w:t>E. 4</w:t>
      </w:r>
    </w:p>
    <w:p>
      <w:r>
        <w:t>Le recourant conclut principalement au déboutement de l'intimée pour défaut de légitimation active, vu l'accession récente de leur fils C______ à la majorité.</w:t>
      </w:r>
    </w:p>
    <w:p>
      <w:r>
        <w:rPr>
          <w:b/>
        </w:rPr>
        <w:t>E. 4.1</w:t>
      </w:r>
    </w:p>
    <w:p>
      <w:r>
        <w:t>L'enfant est le créancier des contributions d'entretien et dispose de la qualité pour agir en paiement de celles-ci (art. 279 al. 1 CC; ATF 129 III 55 consid. 3.1.2; arrêt du Tribunal fédéral 5A_445/2015 du 13 octobre 2015 consid. 2.3.1). S'il est mineur, il a la capacité d'être partie (Parteifähigkeit), mais est dépourvu de celle d'ester en justice et doit donc être représenté en procédure par son représentant légal (art. 304 CC). Selon l'art. 318 al. 1 CC,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(ATF 136 III 365 consid. 2.2). Cela vaut en particulier pour le pouvoir des parents de poursuivre en justice, en leur propre nom, le droit de leur enfant à la place de celui-ci ("Prozessstand- schaft" ou "Prozessführungsbefugnis"). Cette faculté n'existe toutefois que durant la période durant laquelle les parents disposent de l'autorité parentale et elle cesse avec la majorité de l'enfant. Un parent n'a dès lors plus le droit, après la majorité de ce dernier, d'agir en justice ou de réclamer par voie de poursuite des contributions d'entretien, et cela même pour les prétentions qui auraient dû être exécutées durant la minorité de l'enfant (ATF 142 III 78 consid. 3.3). Le Tribunal fédéral a cependant laissé ouverte la question de savoir si le représentant légal ou le détenteur de la garde peut poursuivre une procédure d'exécution forcée ou un procès en mainlevée d'opposition lorsqu'il a entamé la</w:t>
      </w:r>
    </w:p>
    <w:p>
      <w:r>
        <w:t>- 10/13 -</w:t>
      </w:r>
    </w:p>
    <w:p>
      <w:r>
        <w:t>C/21115/2016 poursuite ou requis la mainlevée en son nom pour l'entretien dû à l'enfant avant la majorité de celui-ci et que ce dernier devient majeur en cours de procédure, par analogie avec ce qui prévaut en matière de divorce (ATF 142 III 78 consid. 3.3). En pareil cas, il est en effet admis que la faculté d'agir du parent qui détient l'autorité parentale perdure au-delà de la majorité de l'enfant, lorsque celle-ci survient en cours de procédure. L'enfant devenu majeur durant la procédure doit cependant être consulté dans la mesure où le procès porte sur les contributions d'entretien réclamées pour la période postérieure à la majorité (ATF 129 III 55 consid. 3.1.5). Certains auteurs relèvent qu'à teneur de la loi, les contributions d'entretien doivent être versées en mains de la personne qui a effectivement fourni les prestations d'entretien. Il s'agit généralement du détenteur de l'autorité parentale, et ce même après la majorité de l'enfant, lorsqu'il a effectué des paiements en lieu et place du débirentier (BREITSCHMID/KAMP, Basler Kommentar, Zivilgesetzbuch I, 2010, n. 8 ad art. 289 CC et réf. citées).</w:t>
      </w:r>
    </w:p>
    <w:p>
      <w:r>
        <w:rPr>
          <w:b/>
        </w:rPr>
        <w:t>E. 4.2</w:t>
      </w:r>
    </w:p>
    <w:p>
      <w:r>
        <w:t>En l'espèce, C______ est devenu majeur le 10 mars 2017, alors que le présent procès était pendant. Il est constant que l'intimée a introduit les poursuites litigieuses et requis la mainlevée de l'opposition en son propre nom durant la minorité de l'enfant, pour des contributions d'entretien échues durant ladite minorité. Contrairement à ce que soutient le recourant, il n'est aujourd'hui pas exclu que l'intimée puisse poursuivre le recouvrement de telles contributions, ainsi que le présent procès en mainlevée, en en son nom, la question n'ayant à ce jour pas été précisément tranchée par le Tribunal fédéral. Le recourant ne conteste par ailleurs pas que l'intimée se soit effectivement acquittée durant les périodes concernées de charges relatives à l'entretien de l'enfant, dont elle avait la garde. Il est dès lors conforme aux dispositions et principes rappelés ci-dessus que les contributions dues à l'entretien de l'enfant pour lesdites périodes soient versées en mains de l'intimée, nonobstant l'accession de C______ à la majorité. L'intimée demeure ainsi légitimée à poursuivre le présent procès en son nom, de sorte que le recourant sera débouté de ses conclusions tendant au rejet de la requête pour défaut de légitimation active.</w:t>
      </w:r>
    </w:p>
    <w:p>
      <w:r>
        <w:rPr>
          <w:b/>
        </w:rPr>
        <w:t>E. 5</w:t>
      </w:r>
    </w:p>
    <w:p>
      <w:r>
        <w:t>Le recourant reproche subsidiairement au Tribunal de ne pas avoir retenu que les frais dont il s'était directement acquitté pour le compte de son fils au mois de juillet 2015 avaient éteint sa dette d'entretien pour le mois en question.</w:t>
      </w:r>
    </w:p>
    <w:p>
      <w:r>
        <w:rPr>
          <w:b/>
        </w:rPr>
        <w:t>E. 5.1</w:t>
      </w:r>
    </w:p>
    <w:p>
      <w:r>
        <w:t>Aux termes de l'art. 80 al. 1 LP, le créancier qui est au bénéfice d'un jugement exécutoire peut requérir du juge la mainlevée définitive de l'opposition.</w:t>
      </w:r>
    </w:p>
    <w:p>
      <w:r>
        <w:t>- 11/13 -</w:t>
      </w:r>
    </w:p>
    <w:p>
      <w:r>
        <w:t>C/21115/2016 Le juge doit ordonner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4.2.3 et les références citées).</w:t>
      </w:r>
    </w:p>
    <w:p>
      <w:r>
        <w:rPr>
          <w:b/>
        </w:rPr>
        <w:t>E. 5.2</w:t>
      </w:r>
    </w:p>
    <w:p>
      <w:r>
        <w:t>En l'espèce, le recourant ne conteste pas que le jugement de divorce du 18 avril 2006 constitue un titre de mainlevée définitive pour les contributions d'entretien déduites en poursuite. Compte tenu de l'appel actuellement pendant contre le jugement du 12 décembre 2016 modifiant ce premier jugement, il faut notamment admettre que ledit jugement n'a à ce jour pas été modifié par une décision entrée en force jugée et qu'il demeure exécutoire. S'agissant des montants que le recourant indique avoir payés directement au titre de l'entretien de son fils C______ pour la période où celui-ci vivait auprès de lui, soit en l'occurrence pour une partie du mois de juillet 2015, les pièces produites par le recourant devant Tribunal ne démontrent pas qu'il se serait acquitté d'autres charges que la prime d'assurance-maladie de C______, ainsi que d'une partie de son entretien, pour le mois concerné. En particulier, les extraits de compte bancaire produits ne permettent pas de déterminer si les paiements comptabilisés concernaient ou non l'enfant, ni de vérifier le paiement de la seule facture de frais de scolarité produite. Il n'en résulte donc pas que la dette résiduelle de 1'816 fr. 60 retenue par le Tribunal serait en tout ou partie éteinte. Le recourant ne conteste par ailleurs pas le dies a quo des intérêts moratoires pour lesquels la mainlevée a été prononcée, ni le fait que les ordonnances de séquestre valent titre de mainlevée pour les dépens de 200 fr. et 100 fr. alloués à l'intimée. Par conséquent, le recours, mal fondé, sera rejeté.</w:t>
      </w:r>
    </w:p>
    <w:p>
      <w:r>
        <w:rPr>
          <w:b/>
        </w:rPr>
        <w:t>E. 6</w:t>
      </w:r>
    </w:p>
    <w:p>
      <w:r>
        <w:t>Le recourant, qui succombe dans l'intégralité de ses conclusions, sera condamné aux frais (art. 106 al. 1 CPC). A teneur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- 12/13 -</w:t>
      </w:r>
    </w:p>
    <w:p>
      <w:r>
        <w:t>C/21115/2016 Le premier juge a fixé l'émolument de première instance - non contesté en tant que tel - à 500 fr. Partant, l'émolument de la présente décision sera fixé à un montant de 750 fr., auquel s'ajoutent les frais de la décision sur effet suspensif, arrêtés à 300 fr. (art. 23 et 35 du Règlement fixant le tarif des frais en matière civile [RTFMC] - RS/GE E 1 05.10). Ces frais, d'un total de 1'050 fr., seront partiellement compensés avec l'avance de frais de 750 fr. effectuée par le recourant, qui reste acquise à l'Etat, et le recourant sera condamné à verser la somme de 300 fr. à l'Etat de Genève, soit pour lui les Services financiers du Pouvoir judiciaire (art. 111 al. 1 CPC). Il ne sera pas alloué de dépens à l'intimée, qui ne s'est pas déterminée sur le recours, ni sur effet suspensif.</w:t>
      </w:r>
    </w:p>
    <w:p>
      <w:r>
        <w:rPr>
          <w:b/>
        </w:rPr>
        <w:t>E. 7</w:t>
      </w:r>
    </w:p>
    <w:p>
      <w:r>
        <w:t>La valeur litigieuse, au sens de l'art. 51 LTF, est inférieure à 30'000 fr. * * * * *</w:t>
      </w:r>
    </w:p>
    <w:p>
      <w:r>
        <w:t>- 13/13 -</w:t>
      </w:r>
    </w:p>
    <w:p>
      <w:r>
        <w:t>C/21115/2016 PAR CES MOTIFS, La Chambre civile : A la forme : Déclare recevable le recours interjeté par A______ contre le jugement JTPI/5772/2017 rendu le 4 mai 2017 par le Tribunal de première instance dans la cause C/21115/2016-23 SML. Au fond : Rejette le recours. Déboute les parties de toutes autres conclusions. Sur les frais : Arrête les frais judiciaires à 1'050 fr., les met à la charge de A______ et dit qu'ils sont partiellement compensés avec l'avance de frais de 750 fr. versée par celui-ci, qui reste acquise à l'Etat de Genève. Condamne A______ à verser la somme de 300 fr. à l'Etat de Genève, soit pour lui les Services financiers du Pouvoir judiciaire. Dit qu'il n'est pas alloué de dépens. Siégeant : Madame Sylvie DROIN, présidente; Monsieur Ivo BUETTI et Madame Ursula ZEHETBAUER GHAVAMI, juges; Monsieur David VAZQUEZ, commis-greffier.</w:t>
      </w:r>
    </w:p>
    <w:p>
      <w:r>
        <w:t>La présidente : Sylvie DROIN</w:t>
      </w:r>
    </w:p>
    <w:p>
      <w:r>
        <w:t>Le commis-greffier : David VAZQUEZ</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