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ACJC/1059/2023 vom 28. August 2023</w:t>
      </w:r>
    </w:p>
    <w:p>
      <w:r>
        <w:t>GE Cour de justice, 2023-08-28, FR</w:t>
      </w:r>
    </w:p>
    <w:p>
      <w:r>
        <w:rPr>
          <w:b/>
        </w:rPr>
        <w:t xml:space="preserve">Quelle: </w:t>
      </w:r>
      <w:r>
        <w:t>https://mcp.opencaselaw.ch/entscheid/ge_gerichte_ACJC_1059_2023</w:t>
      </w:r>
    </w:p>
    <w:p>
      <w:r>
        <w:t>FR: GE_GERICHTE ACJC/1059/2023 du 28 août 2023</w:t>
      </w:r>
    </w:p>
    <w:p>
      <w:r>
        <w:t>IT: GE_GERICHTE ACJC/1059/2023 del 28 agosto 2023</w:t>
      </w:r>
    </w:p>
    <w:p>
      <w:pPr>
        <w:pStyle w:val="Heading2"/>
      </w:pPr>
      <w:r>
        <w:t>Erwägungen</w:t>
      </w:r>
    </w:p>
    <w:p>
      <w:r>
        <w:rPr>
          <w:b/>
        </w:rPr>
        <w:t>E. 1.1</w:t>
      </w:r>
    </w:p>
    <w:p>
      <w:r>
        <w:t>La Cour de justice est compétente à raison de la matière (loi fédérale sur le droit d’auteur et les droits voisins du 9 octobre 1992, ci-après : LDA) en vertu des art. 120 al. 1 let. a LOJ et 5 al. 1 let. a CPC, et à raison du lieu, en vertu de l'art. 10 al. 1 let. b CPC.</w:t>
      </w:r>
    </w:p>
    <w:p>
      <w:r>
        <w:rPr>
          <w:b/>
        </w:rPr>
        <w:t>E. 1.2</w:t>
      </w:r>
    </w:p>
    <w:p>
      <w:r>
        <w:t>La demanderesse dispose de la qualité pour agir et de la légitimation active (art. 20 al. 4 et 40 al. 1 let. b LDA et autorisation de la Confédération).</w:t>
      </w:r>
    </w:p>
    <w:p>
      <w:r>
        <w:rPr>
          <w:b/>
        </w:rPr>
        <w:t>E. 1.3</w:t>
      </w:r>
    </w:p>
    <w:p>
      <w:r>
        <w:t>La demande respecte les exigences de forme prévues aux art. 130 s et 221 CPC, de sorte qu'elle est recevable.</w:t>
      </w:r>
    </w:p>
    <w:p>
      <w:r>
        <w:rPr>
          <w:b/>
        </w:rPr>
        <w:t>E. 1.4</w:t>
      </w:r>
    </w:p>
    <w:p>
      <w:r>
        <w:t>La procédure ordinaire s'applique aux litiges pour lesquels est compétente une instance unique, au sens des art. 5 et 8 CPC (art. 243 al. 3 CPC).</w:t>
      </w:r>
    </w:p>
    <w:p>
      <w:r>
        <w:rPr>
          <w:b/>
        </w:rPr>
        <w:t>E. 2</w:t>
      </w:r>
    </w:p>
    <w:p>
      <w:r>
        <w:t>La demanderesse réclame, en sa qualité de société de gestion, le paiement d'un montant total de 300 fr. 40 correspondant à des redevances selon elle dues en vertu des "Tarifs Communs" 8 (reprographie) et 9 (réseaux numériques internes).</w:t>
      </w:r>
    </w:p>
    <w:p>
      <w:r>
        <w:rPr>
          <w:b/>
        </w:rPr>
        <w:t>E. 2.1.1</w:t>
      </w:r>
    </w:p>
    <w:p>
      <w:r>
        <w:t>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La procédure n'exigeant la preuve que des faits contestés en vertu de l'art. 150 CPC (TAPPY, in Commentaire romand, Code de procédure civile, 2ème éd., 2019, n. 9 ad art. 223 CPC), les faits allégués par le demandeur sont dispensés de preuve lorsque faute de réponse, le défendeur n'a pas exposé quels faits sont reconnus ou contestés. Au sens de l'art. 150 al. 1 CPC, il ne peut y avoir de fait non contesté, respectivement admis, que si ce fait a été allégué et que l'autre partie a eu l'occasion de se déterminer à son sujet (arrêt du Tribunal fédéral 5A_719/2016 du 1er février 2017 consid. 6.2).</w:t>
      </w:r>
    </w:p>
    <w:p>
      <w:r>
        <w:rPr>
          <w:b/>
        </w:rPr>
        <w:t>E. 2.1.2</w:t>
      </w:r>
    </w:p>
    <w:p>
      <w:r>
        <w:t>En application des art. 19 al. 1 let. c et 20 al. 2 LDA, toute entreprise qui exploite un photocopieur ou un réseau informatique interne est soumise à l'obligation de payer la rémunération du droit d'auteur, le nombre de copies effectivement réalisées à partir d'œuvres protégées n'entrant pas en considération</w:t>
      </w:r>
    </w:p>
    <w:p>
      <w:r>
        <w:t>- 5/7 -</w:t>
      </w:r>
    </w:p>
    <w:p>
      <w:r>
        <w:t>C/2708/2023 (ATF 125 III 141 consid. 4 et arrêt du Tribunal fédéral 4A_203/2015 du 30 juin 2015 consid. 3.4.2). Les sociétés de gestion établissent des Tarifs en vue du recouvrement des rémunérations (art. 46 al. 1 LDA), lesquels sont négociés avec les associations représentatives des utilisateurs (art. 46 al. 2 LDA) et approuvés par la Commission arbitrale fédérale pour la gestion de droits d’auteur et de droits voisins s’ils sont équitables dans leur structure et dans chacune de leurs clauses (art. 59 al. 1 LDA). L'art. 59 al. 3 LDA prévoit expressément que les Tarifs lient le juge lorsqu'ils sont entrés en vigueur (cf. aussi arrêt du Tribunal fédéral 4A_549/2017 du 21 février 2018 consid. 2.3.1).</w:t>
      </w:r>
    </w:p>
    <w:p>
      <w:r>
        <w:rPr>
          <w:b/>
        </w:rPr>
        <w:t>E. 2.1.3</w:t>
      </w:r>
    </w:p>
    <w:p>
      <w:r>
        <w:t>Le débiteur d'une obligation exigible est mis en demeure par l'interpellation du créancier (art. 102 al. 1 CO). Le débiteur qui est en demeure pour le paiement d'une somme d'argent doit l'intérêt moratoire à 5% l'an (art. 104 al. 1 CO et art. 62 al. 2 LDA).</w:t>
      </w:r>
    </w:p>
    <w:p>
      <w:r>
        <w:rPr>
          <w:b/>
        </w:rPr>
        <w:t>E. 2.2</w:t>
      </w:r>
    </w:p>
    <w:p>
      <w:r>
        <w:t>En l'espèce, la demanderesse a exposé que la défenderesse ne lui avait pas remis les formulaires d'informations indiquant le nombre de ses employés et son secteur d'activité, contrairement à ses obligations. Conformément aux règles fixées dans les Tarifs Communs 8 et 9 applicables au présent litige, elle avait dès lors procédé à une estimation forfaitaire et réclamé le paiement de redevances calculées sur la base desdits Tarifs. La défenderesse n'ayant pas répondu à la demande, malgré les deux délais qui lui ont été impartis à cet effet, les faits qui y sont allégués ne sont pas contestés et les chiffres retenus par la demanderesse ainsi que le mode de calcul ne sont ainsi pas critiqués. Ils seront dès lors retenus par la Cour, aucun élément ni pièce ne démontrant qu'ils sont erronés. La cause étant en état d'être jugée, la Cour est fondée à rendre une décision sur la base desdits faits et pièces. Par conséquent, les prétentions de la demanderesse calculées conformément aux Tarifs Communs 8 et 9 seront admises. La défenderesse sera dès lors condamnée à payer, à titre de redevances pour les années 2021 et 2022, la somme de 300 fr. 40, avec intérêts à 5% l'an depuis le 5 décembre 2022.</w:t>
      </w:r>
    </w:p>
    <w:p>
      <w:r>
        <w:rPr>
          <w:b/>
        </w:rPr>
        <w:t>E. 3</w:t>
      </w:r>
    </w:p>
    <w:p>
      <w:r>
        <w:t>Les frais judiciaires seront mis à la charge de la défenderesse, qui succombe (art. 95 et 106 al. 1 CPC), et arrêtés à 300 fr. (art. 17 RTFMC), compte tenu de l'activité déployée par la Cour. Ils seront compensés avec l'avance de frais de 300 fr. fournie par la demanderesse, laquelle reste acquise à l'Etat de Genève</w:t>
      </w:r>
    </w:p>
    <w:p>
      <w:r>
        <w:t>- 6/7 -</w:t>
      </w:r>
    </w:p>
    <w:p>
      <w:r>
        <w:t>C/2708/2023 (art. 111 al. 1 CPC). La défenderesse sera ainsi condamnée à verser à la demanderesse la somme de 300 fr., à titre de remboursement de l'avance de frais. La défenderesse sera également condamnée à verser à la demanderesse 300 fr. à titre de dépens, débours et TVA compris, fixés en fonction de la valeur litigieuse et de l'importance relative du travail fourni par le conseil de la demanderesse (art. 84 et 85 RFTMC; art. 23, 25 et 26 LaCC).</w:t>
      </w:r>
    </w:p>
    <w:p>
      <w:r>
        <w:rPr>
          <w:b/>
        </w:rPr>
        <w:t>E. 4</w:t>
      </w:r>
    </w:p>
    <w:p>
      <w:r>
        <w:t>Le présent arrêt sera communiqué, pour information, à l'IPI (art. 66a LDA). * * * * *</w:t>
      </w:r>
    </w:p>
    <w:p>
      <w:r>
        <w:t>- 7/7 -</w:t>
      </w:r>
    </w:p>
    <w:p>
      <w:r>
        <w:t>C/2708/2023 PAR CES MOTIFS, La Chambre civile : A la forme : Déclare recevable la demande formée le 20 février 2023 par PROLITTERIS, COOPERATIVE SUISSE POUR LES DROITS D’AUTEUR DE LITTERATURE ET D’ART dans la cause C/2708/2023. Au fond : Condamne A______ SARL à payer à PROLITTERIS, COOPERATIVE SUISSE POUR LES DROITS D’AUTEUR DE LITTERATURE ET D’ART la somme de 300 fr. 40, avec intérêts à 5% l'an depuis le 5 décembre 2022. Sur les frais : Arrête les frais judiciaires à 300 fr., les met à la charge de A______ SARL et les compense avec l'avance de frais effectuée, laquelle demeure acquise à l'Etat de Genève. Condamne A______ SARL à verser à PROLITTERIS, COOPERATIVE SUISSE POUR LES DROITS D’AUTEUR DE LITTERATURE ET D’ART 300 fr. à titre de remboursement des frais judiciaires et 300 fr. à titre de dépens. Siégeant : Monsieur Laurent RIEBEN, président; Monsieur Patrick CHENAUX, Madame Fabienne GEISINGER-MARIETHOZ, juges; Madame Camille LESTEVEN, greffière. Le président : Laurent RIEBEN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