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ACJC/1059/2020 vom 4. August 2020</w:t>
      </w:r>
    </w:p>
    <w:p>
      <w:r>
        <w:t>GE Cour de justice, 2020-08-04, FR</w:t>
      </w:r>
    </w:p>
    <w:p>
      <w:r>
        <w:rPr>
          <w:b/>
        </w:rPr>
        <w:t xml:space="preserve">Quelle: </w:t>
      </w:r>
      <w:r>
        <w:t>https://mcp.opencaselaw.ch/entscheid/ge_gerichte_ACJC_1059_2020</w:t>
      </w:r>
    </w:p>
    <w:p>
      <w:r>
        <w:t>FR: GE_GERICHTE ACJC/1059/2020 du 4 août 2020</w:t>
      </w:r>
    </w:p>
    <w:p>
      <w:r>
        <w:t>IT: GE_GERICHTE ACJC/1059/2020 del 4 agosto 2020</w:t>
      </w:r>
    </w:p>
    <w:p>
      <w:pPr>
        <w:pStyle w:val="Heading2"/>
      </w:pPr>
      <w:r>
        <w:t>Erwägungen</w:t>
      </w:r>
    </w:p>
    <w:p>
      <w:r>
        <w:rPr>
          <w:b/>
        </w:rPr>
        <w:t>E. 3.1</w:t>
      </w:r>
    </w:p>
    <w:p>
      <w:r>
        <w:t>Les frais judiciaires d'appel seront mis à la charge de l'appelante, qui succombe (art. 106 CPC). Les mesures provisionnelles de l'art. 85a al. 2 LP n'étant pas une affaire relevant de la LP au sens de l'art. 251 CPC (BOHNET, Commentaire Romand - CPC, 2ème éd. 2019, n. 3 ad art. 251 CPC), l'OELP n'est pas à applicable à la fixation des frais. Ceux-ci seront donc établis selon le tarif prévu à l'art. 26 RTFMC, arrêtés à 5'200 fr. et entièrement compensés avec l'avance de frais du même montant déjà versée par l'appelante et qui reste acquise à l'Etat de Genève (art. 111 al. 1 CPC).</w:t>
      </w:r>
    </w:p>
    <w:p>
      <w:r>
        <w:rPr>
          <w:b/>
        </w:rPr>
        <w:t>E. 3.2</w:t>
      </w:r>
    </w:p>
    <w:p>
      <w:r>
        <w:t>L'appelante sera en conséquence condamnée à verser à l'intimée 6'000 fr., débours compris, à titre de dépens d'appel (art. 23 al. 1, 25 et 26 LaCC; art. 84, 85, 89 et 90 RTFMC), compte tenu de la valeur litigieuse, certes très élevée, mais aussi des questions litigieuses limitées posées par l'appel. * * * * *</w:t>
      </w:r>
    </w:p>
    <w:p>
      <w:r>
        <w:t>- 14/14 -</w:t>
      </w:r>
    </w:p>
    <w:p>
      <w:r>
        <w:t>C/16789/2019 PAR CES MOTIFS, La Chambre civile : A la forme : Déclare recevable l'appel interjeté le 28 février 2020 par A______ SA contre l'ordonnance OTPI/104/2020 rendu le 17 février 2020 par le Tribunal de première instance dans la cause C/16789/2019-10. Au fond : Confirme l'ordonnance entreprise. Déboute les parties de toutes autres conclusions. Sur les frais : Arrête les frais judiciaires d'appel à 5'200 fr., les met à la charge de A______ SA et les compense avec l'avance de même montant qu'elle a versée et qui demeure acquise à l'Etat de Genève. Condamne A______ SA à payer 6'000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