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ACJC/1059/2019 vom 21. August 2019</w:t>
      </w:r>
    </w:p>
    <w:p>
      <w:r>
        <w:t>GE Cour de justice, 2019-08-21, FR</w:t>
      </w:r>
    </w:p>
    <w:p>
      <w:r>
        <w:rPr>
          <w:b/>
        </w:rPr>
        <w:t xml:space="preserve">Quelle: </w:t>
      </w:r>
      <w:r>
        <w:t>https://mcp.opencaselaw.ch/entscheid/ge_gerichte_ACJC_1059_2019</w:t>
      </w:r>
    </w:p>
    <w:p>
      <w:r>
        <w:t>FR: GE_GERICHTE ACJC/1059/2019 du 21 août 2019</w:t>
      </w:r>
    </w:p>
    <w:p>
      <w:r>
        <w:t>IT: GE_GERICHTE ACJC/1059/2019 del 21 agosto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L'appel ayant été formé en temps utile et selon la forme prescrite par la loi (art. 130 al. 1 et 311 al. 1 CPC), dans une cause de nature pécuniaire portant sur le montant des contributions d'entretien en jeux, qui, capitalisées selon l'art. 92 al. 2 CPC, sont supérieures à 10'000 fr., il est recevable.</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La cause présente un caractère international en raison de la nationalité des parties. Celles-ci ne contestent, à juste titre, pas la compétence des autorités genevoises (art. 79 al. 1 LDIP; 2 et 5 ch. 2 let. a CL) et l'application du droit suisse (art. 83 al. 1 LDIP; 4 al. 1 de la Convention de La Haye du 2 octobre 1973 sur la loi applicable aux obligations alimentaires) au présent litige.</w:t>
      </w:r>
    </w:p>
    <w:p>
      <w:r>
        <w:rPr>
          <w:b/>
        </w:rPr>
        <w:t>E. 3</w:t>
      </w:r>
    </w:p>
    <w:p>
      <w:r>
        <w:t>Compte tenu de la garde partagée instaurée par le premier juge - laquelle n'est pas remise en cause en appel -, se pose la question du domicile légal de l'enfant.</w:t>
      </w:r>
    </w:p>
    <w:p>
      <w:r>
        <w:rPr>
          <w:b/>
        </w:rPr>
        <w:t>E. 3.1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w:t>
      </w:r>
    </w:p>
    <w:p>
      <w:r>
        <w:t>- 8/16 -</w:t>
      </w:r>
    </w:p>
    <w:p>
      <w:r>
        <w:t>C/16798/2017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rPr>
          <w:b/>
        </w:rPr>
        <w:t>E. 3.2</w:t>
      </w:r>
    </w:p>
    <w:p>
      <w:r>
        <w:t>En l'espèce, dans la mesure où il n'est pas contesté que la mère devra continuer à s'acquitter des factures de l'enfant, il se justifie de fixer le domicile légal chez cette dernière.</w:t>
      </w:r>
    </w:p>
    <w:p>
      <w:r>
        <w:rPr>
          <w:b/>
        </w:rPr>
        <w:t>E. 4</w:t>
      </w:r>
    </w:p>
    <w:p>
      <w:r>
        <w:t>L'appelante remet en cause les contributions à son entretien fixées par le premier juge.</w:t>
      </w:r>
    </w:p>
    <w:p>
      <w:r>
        <w:t>Elle soutient que la situation financière de ses parents a été mal évaluée. Elle sollicite le versement d'une contribution à son entretien de 618 fr. du 1er octobre 2016 au 31 août 2017, de 733 fr. du 1er septembre au 31 décembre 2017, de 618 fr. du 1er janvier au 30 septembre 2018, de 586 fr. du 1er octobre au 15 novembre 2018 et de 720 fr. dès le 15 novembre 2018.</w:t>
      </w:r>
    </w:p>
    <w:p>
      <w:r>
        <w:t>L'intimé, qui n'a pas répondu à l'appel, avait offert, en première instance, de verser 300 fr. en 2016 et en 2017, puis 400 fr. du 1er janvier au 31 août 2018, et, dès l'instauration de la garde partagée le 1er novembre 2018, avait conclu à ce que les charges et les allocations familiales de l'enfant soient partagées par moitié entre les parents.</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w:t>
      </w:r>
    </w:p>
    <w:p>
      <w:r>
        <w:t>- 9/16 -</w:t>
      </w:r>
    </w:p>
    <w:p>
      <w:r>
        <w:t>C/16798/2017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leurs moyens sont limités par rapport aux besoins vitaux, il faut s'en tenir aux charges comprises dans le minimum vital au sens du droit des poursuites, qui doit être en principe garanti au débirentier, sans prendre en considération les impôts courants (ATF 140 III 337 consid. 4.2.3 et 4.4; 127 III 68 consid. 2b), à moins que le débirentier ne soit imposé à la source, dès lors que le montant de cet impôt est déduit de son salaire sans qu'il puisse s'y opposer (ATF 90 III 34; arrêt du Tribunal fédéral 5A_592/2011 du 31 janvier 2012 consid. 4.2). Le minimum vital du débirentier doit dans tous les cas être préservé (ATF 135 III 66, in JT 2010 I 167; 127 III 68 consid. 2, in SJ 2001 I 280; arrêt du Tribunal fédéral 5A_662/2013 du 24 juin 2014 consid. 3.2.1). 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rPr>
          <w:b/>
        </w:rPr>
        <w:t>E. 4.2</w:t>
      </w:r>
    </w:p>
    <w:p>
      <w:r>
        <w:t>Il convient de traiter sur un pied d'égalité tous les enfants crédirentiers d'un père ou d'une mère, tant sur le plan de leurs besoins objectifs que sur le plan financier. Ainsi, des contributions d'entretien inégales ne sont pas exclues d'emblée, mais nécessitent une justification particulière (ATF 137 III 59 consid. 4.2.1, in SJ 2011 I 221).</w:t>
      </w:r>
    </w:p>
    <w:p>
      <w:r>
        <w:rPr>
          <w:b/>
        </w:rPr>
        <w:t>E. 4.3</w:t>
      </w:r>
    </w:p>
    <w:p>
      <w:r>
        <w:t>Lorsqu'une personne forme une communauté domestique durable avec un tiers, il convient de ne prendre en compte, dans le calcul de son minimum vital, que la moitié du montant mensuel de base prévu pour un couple marié et des frais de logement réduits (ATF 132 III 483 consid. 4, in JT 2007 II p. 79 ss). Une communauté domestique est considérée comme durable lorsqu'elle est fondée sur un partenariat.</w:t>
      </w:r>
    </w:p>
    <w:p>
      <w:r>
        <w:t>- 10/16 -</w:t>
      </w:r>
    </w:p>
    <w:p>
      <w:r>
        <w:t>C/16798/2017 Il est admis que le concubinage constitue une communauté domestique durable (ATF 130 III 765 consid. 2.4, in JT 2006 II 133). Ainsi, si un des conjoints vit en ménage commun, il paraît justifié de ne prendre en compte, dans le calcul de son minimum vital, que la moitié du montant de base prévu pour un couple marié et des frais de logement réduits, quand bien même il ne s'agit que d'une (simple) communauté domestique et que le concubin ne lui apporte aucun soutien financier. Ce qui est déterminant, ce n'est pas la durée du concubinage, mais l'avantage économique - les économies - qui en découle (ATF 138 III 97 consid. 2.3.2, in JT 2012 II 479; 132 III 483 consid. 4, in JT 2007 II p. 79 et ss.; arrêts du Tribunal fédéral 5A_11/2014 du 3 juillet 2014 consid. 4.2.3 et 5A_833/2012 du 30 mai 2013 consid. 3).</w:t>
      </w:r>
    </w:p>
    <w:p>
      <w:r>
        <w:rPr>
          <w:b/>
        </w:rPr>
        <w:t>E. 4.4</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w:t>
      </w:r>
    </w:p>
    <w:p>
      <w:r>
        <w:rPr>
          <w:b/>
        </w:rPr>
        <w:t>E. 4.5</w:t>
      </w:r>
    </w:p>
    <w:p>
      <w:r>
        <w:t>En l'espèce, les parties ne contestent pas l'application de la méthode dite du minimum vital.</w:t>
      </w:r>
    </w:p>
    <w:p>
      <w:r>
        <w:rPr>
          <w:b/>
        </w:rPr>
        <w:t>E. 4.5.1</w:t>
      </w:r>
    </w:p>
    <w:p>
      <w:r>
        <w:t>L'intimé a perçu un salaire net de 2'764 fr. en 2016, de 3'865 fr. de janvier 2017 à janvier 2018, de 3'158 fr. de février à juin 2018 (soit un salaire moyen net de 3'276 fr. entre janvier et juin 2018), puis de 3'500 fr. dès juillet 2018. Dans la mesure où il travaille à 100% dans son domaine d'activité et perçoit des revenus dans la moyenne de ce qu'il a perçu durant les dernières années, il ne saurait être exigé de lui - contrairement à ce que fait valoir l'appelante - qu'il réalise un revenu mensuel supérieur.</w:t>
      </w:r>
    </w:p>
    <w:p>
      <w:r>
        <w:t>- 11/16 -</w:t>
      </w:r>
    </w:p>
    <w:p>
      <w:r>
        <w:t>C/16798/2017 Ses charges incompressibles mensuelles s'élèvent à 2'540 fr. d'octobre 2016 à août 2018, à 2'957 fr. pour septembre et octobre 2018, puis à 3'107 fr. dès novembre 2018, comprenant le loyer (800 fr., puis 80% - BASTONS BULLETTI, L'entretien après divorce : méthode de calcul, montant, durée et limites, in SJ 2007 II 77, note 140 p. 102 - de 1'521 fr. dès septembre 2018, soit 1'217 fr.), la prime d'assurance-maladie LAMal (469 fr. 70), les frais de transport public (70 fr., nécessaires pour se déplacer, notamment pour se rendre sur son lieu de travail à J______ [GE]) et le montant de base selon les normes OP (1'200 fr. jusqu'en octobre 2018 et 1'350 fr. dès novembre 2018), à l'exclusion de la prime d'assurance 3ème pilier, qui constitue de l'épargne. Il sera tenu compte de l'entier du montant de base pour la période durant laquelle il habitait chez son amie, dans la mesure où il n'est pas établi - ni même allégué - qu'il formait une communauté domestique durable avec cette dernière. L'intimé bénéfice dès lors d'un solde disponible mensuel de 224 fr. entre octobre et décembre 2016, de 1'325 fr. en 2017, de 742 fr. de janvier à octobre 2018 (736 fr. de janvier à juin 2018, 960 fr. en juillet et août 2018 et 543 fr. en septembre et octobre 2018) et de 393 fr. dès novembre 2018.</w:t>
      </w:r>
    </w:p>
    <w:p>
      <w:r>
        <w:rPr>
          <w:b/>
        </w:rPr>
        <w:t>E. 4.5.2</w:t>
      </w:r>
    </w:p>
    <w:p>
      <w:r>
        <w:t>La mère de l'appelante a perçu un salaire mensuel net de 1'295 fr. entre le 1er octobre et le 14 novembre 2016, d'environ 2'600 fr. entre le 15 novembre 2016 et le 14 novembre 2018 - soit un revenu moyen net de 1'947 fr. 50 d'octobre à décembre 2016 -, puis d'environ 1'300 fr. depuis le 15 novembre 2018. La question de l'imputation d'un revenu hypothétique à son égard dès la fin de son droit aux prestations de l'assurance-chômage peut rester ouverte au vu de l'issue du litige. Ses charges incompressibles se montent à 2'627 fr. du 1er octobre 2016 au 30 septembre 2018, puis à 1'825 fr. dès le 1er octobre 2018, le loyer (80% de 910 fr. du 1er octobre 2016 au 30 septembre 2018 et 80% de la moitié de 1'170 fr. dès le 1er octobre 2018, soit respectivement 728 fr. et 426 fr.), la prime d'assurance-maladie (478 fr. 90), les frais de transport public (70 fr.) et le montant de base (1'350 fr. du 1er octobre 2016 au 30 septembre 2018, puis 850 fr. dès le 1er octobre 2018). La mère de l'appelante doit ainsi faire face à un déficit mensuel de 679 fr. d'octobre à décembre 2016, de 27 fr. en 2017 et de 525 fr. dès le 15 novembre 2018. Elle avait un disponible d'environ 10 fr. en 2018.</w:t>
      </w:r>
    </w:p>
    <w:p>
      <w:r>
        <w:rPr>
          <w:b/>
        </w:rPr>
        <w:t>E. 4.5.3</w:t>
      </w:r>
    </w:p>
    <w:p>
      <w:r>
        <w:t>Les charges incompressibles de l'appelante s'élèvent à 527 fr. par mois du 1er octobre 2016 au 31 août 2017 et du 1er janvier 2018 au 30 septembre 2018, à 642 fr. du 1er septembre au 31 décembre 2017, à 462 fr. en octobre 2018, à 766 fr. du 1er novembre 2018 au 30 novembre 2020, puis à 666 fr. dès</w:t>
      </w:r>
    </w:p>
    <w:p>
      <w:r>
        <w:t>- 12/16 -</w:t>
      </w:r>
    </w:p>
    <w:p>
      <w:r>
        <w:t>C/16798/2017 le 1er décembre 2020, comprenant la part du loyer (pour la mère : 20% de 910 fr. du 1er octobre 2016 au 30 septembre 2018 et 20% de la moitié de 1'170 fr. dès le 1er octobre 2018, soit respectivement 182 fr. et 117 fr.; pour le père : 20% de 1'521 fr. dès novembre 2018, soit 304 fr.), la prime d'assurance- maladie LAMal (0 fr., subside déduit), les frais de cours d'anglais (115 fr. du 1er septembre 2017 au 31 décembre 2017), les frais de transport public (45 fr.) et le montant de base selon les normes OP (600 fr.), dont il convient de déduire les allocations familiales (300 fr., puis 400 fr. dès les 16 ans de l'enfant, soit dès le 1er décembre 2020). Ses charges mensuelles moyennes se montent donc à 527 fr. d'octobre à décembre 2016, à 566 fr. pour 2017, à 520 fr. du 1er janvier 2018 au 31 octobre 2018, à 766 fr. du 1er novembre 2018 au 30 novembre 2020, puis à 666 fr. dès le 1er décembre 2020, allocations familiales déduites.</w:t>
      </w:r>
    </w:p>
    <w:p>
      <w:r>
        <w:rPr>
          <w:b/>
        </w:rPr>
        <w:t>E. 4.5.4</w:t>
      </w:r>
    </w:p>
    <w:p>
      <w:r>
        <w:t>Au vu de la situation financière de la mère de l'appelante, une contribution de prise en charge se justifierait entre le 1er octobre et le 14 novembre 2016, l'intimé n'ayant pas contesté que la mère avait, jusqu'à cette date, limité son activité professionnelle à un taux d'environ 50% pour s'occuper de sa fille, alors scolarisée au niveau élémentaire. Tel ne sera, en revanche, plus le cas durant le délai-cadre de son droit aux prestations de l'assurance-chômage, à savoir du 15 novembre 2016 au 14 novembre 2018, la mère bénéficiant alors d'une couverture pour une activité à 100%. Il en sera de même dès la fin de son droit au chômage, dans la mesure où son déficit résulte du fait qu'elle n'a pas été en mesure de travailler au taux de 100%, faute d'avoir trouvé un second emploi à temps partiel ou un autre emploi à temps plein, et non pour s'occuper de sa fille. Ce point n'a toutefois pas d'incidence sur l'issue du litige vu le solde disponible de l'intimé entre le 1er octobre et le 14 novembre 2016.</w:t>
      </w:r>
    </w:p>
    <w:p>
      <w:r>
        <w:rPr>
          <w:b/>
        </w:rPr>
        <w:t>E. 4.5.5</w:t>
      </w:r>
    </w:p>
    <w:p>
      <w:r>
        <w:t>Compte tenu de la situation financière respective des parents de l'appelante, il se justifie de condamner l'intimé à verser une contribution mensuelle à son entretien de : - 300 fr. entre le 1er octobre et le 31 décembre 2016, conformément à ce qu'il a offert de verser en première instance, - 570 fr. entre le 1er janvier et le 31 décembre 2017, et - 450 fr. entre le 1er janvier 2018 et le 31 octobre 2018, correspondant à environ 60% du solde disponible du père et laissant à ce dernier un montant de 292 fr. pour l'entretien de sa fille E______, à l'égard de laquelle il a établi assumer une obligation d'entretien, retenue dans une moindre mesure compte tenu du coût de la vie moins élevé en Espagne.</w:t>
      </w:r>
    </w:p>
    <w:p>
      <w:r>
        <w:t>- 13/16 -</w:t>
      </w:r>
    </w:p>
    <w:p>
      <w:r>
        <w:t>C/16798/2017 Des contributions fixées ci-avant doivent être déduits les montants dont l'intimé s'est d'ores et déjà acquitté à titre d'entretien (arrêt du Tribunal fédéral 5A_454/2017 du 17 mai 2018 consid. 5.3). Dès l'instauration de la garde partagée, soit dès le 1er novembre 2018, l'intimé n'est pas en mesure de verser une contribution à l'entretien de l'appelante en mains de sa mère vu son solde disponible et les frais résultant de la garde partagée qu'il devra assumer. Conformément à ses conclusions de première instance, les charges incompressibles et les allocations familiales de l'enfant devront être partagées par moitié entre les parents dès cette date. Les contributions en faveur d'un enfant sont dues jusqu'à sa majorité, voire au- delà en cas de poursuite suivie et régulière d'études ou d'une formation professionnelle.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w:t>
      </w:r>
    </w:p>
    <w:p>
      <w:r>
        <w:rPr>
          <w:b/>
        </w:rPr>
        <w:t>E. 4.5.6</w:t>
      </w:r>
    </w:p>
    <w:p>
      <w:r>
        <w:t>L'entretien convenable de l'appelante correspond actuellement aux frais liés à ses besoins effectifs, à savoir à 1'070 fr., allocations familiales non déduites. Celui-ci n'étant pas couvert, ce dernier sera indiqué dans le dispositif du présent arrêt, conformément à l'art. 301a CPC.</w:t>
      </w:r>
    </w:p>
    <w:p>
      <w:r>
        <w:rPr>
          <w:b/>
        </w:rPr>
        <w:t>E. 4.5.7</w:t>
      </w:r>
    </w:p>
    <w:p>
      <w:r>
        <w:t>Par conséquent, les chiffres 2 à 5 du dispositif du jugement entrepris seront annulés et l'intimé condamné dans le sens de ce qui précède.</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32 RTFMC), le jugement entrepris sera confirmé sur ce point.</w:t>
      </w:r>
    </w:p>
    <w:p>
      <w:r>
        <w:rPr>
          <w:b/>
        </w:rPr>
        <w:t>E. 5.2</w:t>
      </w:r>
    </w:p>
    <w:p>
      <w:r>
        <w:t>Les frais judiciaires de la procédure d'appel sont fixés à 1'500 fr. (art. 32 et 35 RTFMC). Pour des motifs d'équité liés à la nature et à l'issue du litige, ils seront répartis à parts égales entre les parties (art. 95, 104 al. 1, 105, 106 al. 1 et 107 al. 1 let. c CPC).</w:t>
      </w:r>
    </w:p>
    <w:p>
      <w:r>
        <w:t>- 14/16 -</w:t>
      </w:r>
    </w:p>
    <w:p>
      <w:r>
        <w:t>C/16798/2017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w:t>
      </w:r>
    </w:p>
    <w:p>
      <w:r>
        <w:t>L'intimé sera, par conséquent, condamné à verser aux Services financiers du Pouvoir judiciaire la somme de 750 fr. à titre de frais judiciaires d'appel. Pour les mêmes motifs, chaque partie supportera ses propres dépens d'appel (art. 107 al. 1 let. c CPC). * * * * *</w:t>
      </w:r>
    </w:p>
    <w:p>
      <w:r>
        <w:t>- 15/16 -</w:t>
      </w:r>
    </w:p>
    <w:p>
      <w:r>
        <w:t>C/16798/2017 PAR CES MOTIFS, La Chambre civile : A la forme : Déclare recevable l'appel interjeté le 20 mars 2019 par A______ contre les chiffres 2 à</w:t>
      </w:r>
    </w:p>
    <w:p>
      <w:r>
        <w:rPr>
          <w:b/>
        </w:rPr>
        <w:t>E. 6</w:t>
      </w:r>
    </w:p>
    <w:p>
      <w:r>
        <w:t>du dispositif du jugement JTPI/2115/2019 rendu le 15 février 2019 par le Tribunal de première instance dans la cause C/16798/2017-1. Au fond : Fixe le domicile légal de A______ chez B______. Annule les chiffres 2 à 5 du dispositif du jugement entrepris, et statuant à nouveau sur ces points : Fixe l'entretien convenable de A______ à 1'070 fr. par mois, hors allocations familiales. Condamne C______ à verser en mains de B______, par mois et d'avance, allocations familiales non comprises, à titre de contribution à l'entretien de A______, la somme de 300 fr. du 1er octobre 2016 au 31 décembre 2016, de 570 fr. du 1er janvier 2017 au 31 décembre 2017, puis de 450 fr. du 1er janvier 2018 au 31 octobre 2018. Dit que doivent être déduits des contributions d'entretien les montants d'ores et déjà versés à ce titre. Dit que C______ et B______ prendront à leur charge, à raison de la moitié chacun, les charges incompressibles de A______ du 1er novembre 2018 à sa majorité, voire au-delà en cas de poursuite suivie et régulière d'études ou d'une formation professionnelle. Confirme le jugement entrepris pour le surplus. Déboute les parties de toutes autres conclusions. Sur les frais : Arrête les frais judiciaires d'appel à 1'500 fr., les met à la charge des parties par moitié chacune, à savoir 750 fr. à la charge de A______ et 750 fr. à la charge de C______. Dit que les frais à la charge de A______ sont provisoirement supportés par l'Etat de Genève. Condamne C______ à verser aux Services financiers du Pouvoir judiciaire la somme de 750 fr. à titre de frais judiciaires d'appel.</w:t>
      </w:r>
    </w:p>
    <w:p>
      <w:r>
        <w:t>- 16/16 -</w:t>
      </w:r>
    </w:p>
    <w:p>
      <w:r>
        <w:t>C/16798/2017 Dit que chaque partie supporte ses propres dépens d'appel.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