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ACJC/1055/2020 vom 6. Dezember 2016</w:t>
      </w:r>
    </w:p>
    <w:p>
      <w:r>
        <w:t>GE Cour de justice, 2016-12-06, FR</w:t>
      </w:r>
    </w:p>
    <w:p>
      <w:r>
        <w:rPr>
          <w:b/>
        </w:rPr>
        <w:t xml:space="preserve">Quelle: </w:t>
      </w:r>
      <w:r>
        <w:t>https://mcp.opencaselaw.ch/entscheid/ge_gerichte_ACJC_1055_2020</w:t>
      </w:r>
    </w:p>
    <w:p>
      <w:r>
        <w:t>FR: GE_GERICHTE ACJC/1055/2020 du 6 décembre 2016</w:t>
      </w:r>
    </w:p>
    <w:p>
      <w:r>
        <w:t>IT: GE_GERICHTE ACJC/1055/2020 del 6 dicembre 2016</w:t>
      </w:r>
    </w:p>
    <w:p>
      <w:pPr>
        <w:pStyle w:val="Heading2"/>
      </w:pPr>
      <w:r>
        <w:t>Erwägungen</w:t>
      </w:r>
    </w:p>
    <w:p>
      <w:r>
        <w:rPr>
          <w:b/>
        </w:rPr>
        <w:t>E. 1.1</w:t>
      </w:r>
    </w:p>
    <w:p>
      <w:r>
        <w:t>La présente procédure ayant pour objet la déclaration de force exécutoire d'une décision rendue par les autorités françaises, elle relève de la compétence du tribunal de l'exécution (art. 335 al. 3 CPC) et est soumise à la Convention de Lugano du 30 octobre 2007 concernant la compétence judiciaire, la reconnaissance et l'exécution des décisions en matière civile et commerciale [CL; RS 0.275.12], à laquelle la Suisse et la France sont parties.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al. 5 CL).</w:t>
      </w:r>
    </w:p>
    <w:p>
      <w:r>
        <w:rPr>
          <w:b/>
        </w:rPr>
        <w:t>E. 1.2</w:t>
      </w:r>
    </w:p>
    <w:p>
      <w:r>
        <w:t>Interjeté en temps utile et selon la forme requise par la loi (art. 130 al. 1, 131 et 321 al. 1 CPC), le recours est recevable.</w:t>
      </w:r>
    </w:p>
    <w:p>
      <w:r>
        <w:rPr>
          <w:b/>
        </w:rPr>
        <w:t>E. 1.3</w:t>
      </w:r>
    </w:p>
    <w:p>
      <w:r>
        <w:t>Les parties ont produit des pièces nouvelles.</w:t>
      </w:r>
    </w:p>
    <w:p>
      <w:r>
        <w:rPr>
          <w:b/>
        </w:rPr>
        <w:t>E. 1.3.1</w:t>
      </w:r>
    </w:p>
    <w:p>
      <w:r>
        <w:t>En vertu de l'art. 326 CPC, les conclusions, allégations de faits et les preuves nouvelles sont irrecevables (al. 1), les dispositions spéciales de la loi étant réservées (al. 2). Lorsque le recours est dirigé contre une décision du tribunal de l'exécution au sens des art. 38 à 52 CL, le tribunal examine avec un plein pouvoir de cognition les motifs de refus prévus par la Convention (art. 327a CPC). Dans le système de la Convention de Lugano, la décision constatant le caractère exécutoire est rendue en première instance sans que le débiteur ne soit entendu</w:t>
      </w:r>
    </w:p>
    <w:p>
      <w:r>
        <w:t>- 4/7 -</w:t>
      </w:r>
    </w:p>
    <w:p>
      <w:r>
        <w:t>C/2943/2020 (art. 41 CL), ce qui explique que l'instance de recours devant laquelle il peut faire valoir pour la première fois son point de vue dispose d'un pouvoir de cognition complet, en dérogation au régime qui prévaut habituellement pour une voie de recours extraordinaire. Dans ce cadre, l'instance de recours pourra examiner les faits sans restriction. A ce titre, la limitation normalement applicable au recours s'agissant des nova ne s'applique pas dans le cadre de l'art. 327a CPC (JEANDIN, Commentaire romand, Code de procédure civile, 2ème éd., 2019, n. 5 et 6 ad art. 327a CPC). L'admission de nova dans la procédure selon l'art. 327a CPC ne peut pas se fonder sur l'art. 229 CPC (cf. ATF 138 III 625 c. 2.2), mais bien sur l'art. 317 al. 1 CPC appliqué par analogie, d'autant plus que tel qu'il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w:t>
      </w:r>
    </w:p>
    <w:p>
      <w:r>
        <w:rPr>
          <w:b/>
        </w:rPr>
        <w:t>E. 1.3.2</w:t>
      </w:r>
    </w:p>
    <w:p>
      <w:r>
        <w:t>Il découle des considérations qui précèdent que les pièces produites devant la Cour par le recourant à l'appui de son recours sont recevables. L'intimée a pour sa part produit devant la Cour les pièces qu'elle avait produites à l'appui de sa requête de séquestre, qui ne sont dès lors pas nouvelles.</w:t>
      </w:r>
    </w:p>
    <w:p>
      <w:r>
        <w:rPr>
          <w:b/>
        </w:rPr>
        <w:t>E. 2</w:t>
      </w:r>
    </w:p>
    <w:p>
      <w:r>
        <w:t>Le recourant invoque une violation de l'art. 34 ch. 1 CL. Il soutient que la décision française qui a été déclarée exécutoire en Suisse viole l'ordre public suisse dans la mesure où elle fixe une contribution d'entretien qu'il doit payer à l'intimée de 3'500 euros qui entame son minimum vital. Il indique à cet égard percevoir des revenus mensuels de 5'459 fr. et supporter des charges de 3'007 fr.</w:t>
      </w:r>
    </w:p>
    <w:p>
      <w:r>
        <w:rPr>
          <w:b/>
        </w:rPr>
        <w:t>E. 2.1</w:t>
      </w:r>
    </w:p>
    <w:p>
      <w:r>
        <w:t>Les décisions rendues dans un Etat lié par la Convention de Lugano, applicable en l'espèce, sont reconnues dans les autres Etats liés par ladite Convention, sans qu'il soit nécessaire de recourir à aucune procédure (art. 33 al. 1 CL). Selon l'art. 45 al. 1 CL, la juridiction de recours ne peut refuser ou révoquer une déclaration constatant la force exécutoire que pour l'un des motifs prévus aux art. 34 et 35 CL, soit notamment lorsque la décision étrangère est contraire à l'ordre public de l'Etat requis (art. 34 al. 1 CL).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w:t>
      </w:r>
    </w:p>
    <w:p>
      <w:r>
        <w:t>- 5/7 -</w:t>
      </w:r>
    </w:p>
    <w:p>
      <w:r>
        <w:t>C/2943/2020 interprétée de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 la règle, dont il ne faut pas s'écarter sans de bonnes raisons (ATF 143 III 404 consid. 5.2.3 et les références). Le fait que le juge d'origine avait commis une erreur de droit ne constitue pas une violation manifeste d'une règle de droit essentielle dans l'ordre juridique de l'Etat requis (BUCHER, in Commentaire romand CL, n. 7 ad art. 34 CL).</w:t>
      </w:r>
    </w:p>
    <w:p>
      <w:r>
        <w:rPr>
          <w:b/>
        </w:rPr>
        <w:t>E. 2.2</w:t>
      </w:r>
    </w:p>
    <w:p>
      <w:r>
        <w:t>En l'espèce, contrairement à ce que soutient le recourant, le Tribunal de Grande Instance de C______ (France) n'a pas retenu qu'il percevait des revenus de 3'424 euros et supportait des charges de 4'745 euros, subissant ainsi un déficit de l'ordre de 1'300 euros par mois. Celui-ci s'est simplement référé, en citant ces chiffres, aux allégations du recourant. Le Tribunal de Grande Instance de C______ (France) a, au contraire, relevé que le recourant faisait montre d'une certaine opacité dans l'exposé de sa situation financière. Il s'est par ailleurs fondé, pour fixer le montant de la contribution d'entretien, sur divers éléments, à savoir la décision du Tribunal du 6 décembre 2016, le train de vie tel que déclaré par les parties et les éléments justificatifs dont il a indiqué qu'il disposait. Ainsi, admettre que la contribution d'entretien que le recourant a été condamné à payer entame son minimum vital sur la base des montants allégués par le recourant à titre de revenus et charges devant la Cour, ou même devant le Tribunal de Grande Instance de C______ (France) – étant relevé qu'ils diffèrent largement (respectivement 5'459 fr. et 3'007 fr. et 3'424 euros et 4'747 euros) –, reviendrait à effectuer un nouveau calcul de ladite contribution d'entretien, sur la base d'autres éléments que ceux pris en compte par le Tribunal de Grande Instance de C______ (France), et, ainsi, à procéder une révision au fond de la décision, ce qu'il n'appartient pas au tribunal de l'exécution de faire.</w:t>
      </w:r>
    </w:p>
    <w:p>
      <w:r>
        <w:t>En outre, dans la mesure où le Tribunal de Grande Instance de C______ (France) ne s'est pas fondé sur les éléments invoqués par le recourant pour calculer la contribution d'entretien, il ne peut être considéré que la décision litigieuse entame le minimum vital du recourant. La question d'une éventuelle contrariété avec l'ordre public suisse d'une décision qui entamerait le minimum vital du recourant ne se pose dès lors pas.</w:t>
      </w:r>
    </w:p>
    <w:p>
      <w:r>
        <w:t>Le recours est donc infondé, de sorte qu'il sera rejeté.</w:t>
      </w:r>
    </w:p>
    <w:p>
      <w:r>
        <w:rPr>
          <w:b/>
        </w:rPr>
        <w:t>E. 3</w:t>
      </w:r>
    </w:p>
    <w:p>
      <w:r>
        <w:t>Le recourant, qui succombe, sera condamné aux frais judicaires de recours, arrêtés à 600 fr. (art. 26 et 38 RTFMC) et entièrement compensés avec l'avance du même montant fournie, qui reste acquise à l'Etat de Genève (art. 111 al. 1 CPC).</w:t>
      </w:r>
    </w:p>
    <w:p>
      <w:r>
        <w:t>- 6/7 -</w:t>
      </w:r>
    </w:p>
    <w:p>
      <w:r>
        <w:t>C/2943/2020 Le recourant sera, en outre, condamné à verser à l'intimée 1'500 fr. à titre de dépens de recours, débours et TVA compris (art. 85 et 90 RTFMC; art. 25 et 26 LaCC). * * * * *</w:t>
      </w:r>
    </w:p>
    <w:p>
      <w:r>
        <w:t>- 7/7 -</w:t>
      </w:r>
    </w:p>
    <w:p>
      <w:r>
        <w:t>C/2943/2020 PAR CES MOTIFS, La Chambre civile : A la forme : Déclare recevable le recours interjeté par A______ contre l'ordonnance OTPI/107/2020 rendue le 13 février 2020 par le Tribunal de première instance dans la cause C/2943/2020-24 SQP. Au fond : Rejette ce recours. Déboute les parties de toutes autres conclusions. Sur les frais : Arrête les frais judicaires de recours à 600 fr., les met à la charge de A______ et dit qu'ils sont compensés avec l'avance fournie, qui reste acquise à l'Etat de Genève. Condamne A______ à verser à B______ la somme de 1'500 fr. à titre de dépens de recours. Siégeant : Monsieur Laurent RIEBEN, président; Madame Nathalie LANDRY-BARTHE et Madame Fabienne GEISINGER-MARIETHOZ,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