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ACJC/1051/2010 vom 26. März 2009</w:t>
      </w:r>
    </w:p>
    <w:p>
      <w:r>
        <w:t>GE Cour de justice, 2009-03-26, FR</w:t>
      </w:r>
    </w:p>
    <w:p>
      <w:r>
        <w:rPr>
          <w:b/>
        </w:rPr>
        <w:t xml:space="preserve">Quelle: </w:t>
      </w:r>
      <w:r>
        <w:t>https://mcp.opencaselaw.ch/entscheid/ge_gerichte_ACJC_1051_2010</w:t>
      </w:r>
    </w:p>
    <w:p>
      <w:r>
        <w:t>FR: GE_GERICHTE ACJC/1051/2010 du 26 mars 2009</w:t>
      </w:r>
    </w:p>
    <w:p>
      <w:r>
        <w:t>IT: GE_GERICHTE ACJC/1051/2010 del 26 marzo 2009</w:t>
      </w:r>
    </w:p>
    <w:p>
      <w:pPr>
        <w:pStyle w:val="Heading2"/>
      </w:pPr>
      <w:r>
        <w:t>Regeste</w:t>
      </w:r>
    </w:p>
    <w:p>
      <w:r>
        <w:t>Résumé: 1. En cas de propriété fiduciaire d'une cédule hypothécaire aux fins de garantie, le créancier doit se laisser opposer par le débiteur tous les moyens découlant du rapport de base. Le tiers-propriétaire peut également faire valoir toutes les exceptions dont le débiteur dispose contre le créancier En revanche, la garantie offerte par le transfert de propriété fiduciaire ne constituant pas un droit accessoire au sens de l'art. 170 CO, le cessionnaire de la créance causale ne peut déduire de droits du contrat entre le fiduciant et le fiduciaire (consid. 3.2). 2. La dénonciation de la cédule hypothécaire est une manifestation de volonté uni¬atérale sujette à réception qui déploie ses effets également à l'égard du successeur juridique à titre singulier du créancier.Elle prend effet au moment où elle parvient à son destinataire. Son auteur ne peut la retirer que conformément à l'art. 9 al. 1 CO, ce qui suppose que le retrait parvienne au destinataire avant la dénonciation.Hormis ce cas, elle ne peut être retirée qu'avec le consentement de ce dernier (consid. 3.2).</w:t>
      </w:r>
    </w:p>
    <w:p>
      <w:pPr>
        <w:pStyle w:val="Heading2"/>
      </w:pPr>
      <w:r>
        <w:t>Erwägungen</w:t>
      </w:r>
    </w:p>
    <w:p>
      <w:r>
        <w:rPr>
          <w:b/>
        </w:rPr>
        <w:t>E. 1</w:t>
      </w:r>
    </w:p>
    <w:p>
      <w:r>
        <w:t>Interjetés dans les délais et selon la forme prescrits par loi, l'appel principal et l'ap- pel incident sont recevables (art. 296, 298, 300 et 306 A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Commentaire de la loi de procé- dure civile genevoise, n. 3 ad art. 291).</w:t>
      </w:r>
    </w:p>
    <w:p>
      <w:r>
        <w:rPr>
          <w:b/>
        </w:rPr>
        <w:t>E. 2</w:t>
      </w:r>
    </w:p>
    <w:p>
      <w:r>
        <w:t>Y______ (ci-après : l'intimé) conclut à l'irrecevabilité de la réponse à son appel, au motif que cette écriture constituerait une réplique à sa réponse à l'appel principal.</w:t>
      </w:r>
    </w:p>
    <w:p>
      <w:r>
        <w:rPr>
          <w:b/>
        </w:rPr>
        <w:t>E. 2.1</w:t>
      </w:r>
    </w:p>
    <w:p>
      <w:r>
        <w:t>A l'instar de ce qui prévaut devant le premier juge, un second échange d'écri- tures, qui doit être autorisé, reste exceptionnel en appel (BERTOSSA/- GAILLARD/GUYET/SCHMIDT, op. cit., n. 4 ad art. 306 A; n. 1 ad art. 123). Par ailleurs, l’appelant ne peut corriger une irrégularité de son mémoire par la produc- tion d’un nouvel acte hors du délai d’appel; tout au plus peut-il produire un com- plément aux conditions de l’art. 122 al. 1 LPC (BERTOSSA/GAILLARD/- GUYET/SCHMIDT, op. cit., n. 2 ad art 300). De même, l’institution de l’appel incident ne saurait être utilisée pour corriger ou compléter son mémoire hors du délai ordinaire d’appel (BERTOSSA/GAILLARD/GUYET/SCHMIDT, op. cit. n. 5 ad art. 298). Au regard de ces principes, la réponse à l'appel incident ne peut pas non plus servir de complément à l'appel principal ou de réplique à la réponse à l'appel principal.</w:t>
      </w:r>
    </w:p>
    <w:p>
      <w:r>
        <w:t>- 6/13 -</w:t>
      </w:r>
    </w:p>
    <w:p>
      <w:r>
        <w:t>C/5683/2008</w:t>
      </w:r>
    </w:p>
    <w:p>
      <w:r>
        <w:rPr>
          <w:b/>
        </w:rPr>
        <w:t>E. 2.2</w:t>
      </w:r>
    </w:p>
    <w:p>
      <w:r>
        <w:t>En l'espèce, l'appel incident porte formellement sur les dépens. Il s'ensuit que la réponse ne devrait concerner que ce point. Or, la réponse à l'appel incident contient également une motivation juridique relevant du fond. Il est vrai que l'in- timé sollicite également la modification du jugement entrepris dans ses conclu- sions sur l'appel principal, ce qui équivaut en principe à un appel incident (BERTOSSA/GAILLARD/GUYET/SCHMIDT, op. cit., n. 7 ad art. 298). Toute- fois, la modification sollicitée n'est motivée que par une contradiction entre les considérants et le dispositif. Ainsi, la modification sollicitée ne justifiait pas une réplique à l'argumentation juridique développée dans la réponse à l'appel princi- pal. Toutefois, écarter la réponse à l'appel incident pour ce motif serait constitutif de formalisme excessif, puisque cet acte, dans la mesure où il portait sur la moti- vation en droit de l'intimé, pouvait faire et a effectivement fait l'objet d'une plai- doirie (BERTOSSA/GAILLARD/GUYET/SCHMIDT, op. cit., n. 1 ad art. 136).</w:t>
      </w:r>
    </w:p>
    <w:p>
      <w:r>
        <w:rPr>
          <w:b/>
        </w:rPr>
        <w:t>E. 3</w:t>
      </w:r>
    </w:p>
    <w:p>
      <w:r>
        <w:t>L'appelant s'oppose à la restitution des cédules hypothécaires à l'intimé, soutenant que le crédit octroyé à B______n'a pas été dénoncé au remboursement et qu'ainsi les créances cédulaires ne sont pas davantage exigibles.</w:t>
      </w:r>
    </w:p>
    <w:p>
      <w:r>
        <w:rPr>
          <w:b/>
        </w:rPr>
        <w:t>E. 3.1</w:t>
      </w:r>
    </w:p>
    <w:p>
      <w:r>
        <w:t>Le paiement de la créance incorporée dans la cédule hypothécaire n'entraîne pas l'extinction de la dette et ne touche pas non plus l'existence du gage immobi- lier. En revanche, conformément à l'art. 873 CC, le débiteur qui paie la totalité de la dette peut exiger du créancier qu'il lui remette le titre. De même, le tiers-pro- priétaire du gage peut dégrever aux mêmes conditions que celles faites au débiteur pour éteindre la créance (art. 827 CC en combinaison avec l'art. 845 CC) (ATF 130 III 681 consid. 2.3 = JdT 2004 I p. 567). Le débiteur ne doit prester que trait pour trait contre la restitution du titre (STAEHELIN, Commentaire bâlois, 2007, n. 4 ad art. 873 CC). Lorsque le tiers-propriétaire du gage désintéresse le créan- cier, il devient, par subrogation légale, créancier de la prétention cédulaire, sans que le transfert du titre ne soit nécessaire. Il dispose ainsi contre le précédent créancier d'un droit à la remise du titre de nature réelle et non personnelle (art. 827 al. 2 CC; STAEHELIN, op. cit., n. 10 ad art. 873 CC; JAQUES, La réutilisation des cédules hypothécaires et le remploi des hypothèques dans le cadre d'une exé- cution forcée, in RNRF 2005, p. 209 ss, p. 210). Le tiers-propriétaire peut satisfaire le créancier et dégrever son immeuble si et dans la même mesure que le débiteur est en droit de la faire (TRAUFFER, Com- mentaire bâlois, 2007, n. 8 ad art. 827 CC; LEEMANN, Commentaire bernois, 1925, n. 9 ad art. 827 CC). Selon la doctrine majoritaire, la créance cédulaire doit par conséquent être exigible (TRAUFFER, op. cit., n. 8 ad art. 827 CC; STEINAUER, Les droits réels, Tome III, 2003, n. 2815b; LEEMANN, op. cit., n. 10 ad art 827 CC). Un auteur est, en revanche, d'avis qu'il suffit que le débiteur soit en droit d'exécuter la prestation, ce qui n'est pas lié à l'exigibilité, question qui concerne uniquement le droit du créancier d'exiger l'exécution de la prestation</w:t>
      </w:r>
    </w:p>
    <w:p>
      <w:r>
        <w:t>- 7/13 -</w:t>
      </w:r>
    </w:p>
    <w:p>
      <w:r>
        <w:t>C/5683/2008 (FASEL, Handkommentar zum Schweizer Privatrecht, 2007, n. 3 ad art. 827 ZGB).</w:t>
      </w:r>
    </w:p>
    <w:p>
      <w:r>
        <w:rPr>
          <w:b/>
        </w:rPr>
        <w:t>E. 3.2</w:t>
      </w:r>
    </w:p>
    <w:p>
      <w:r>
        <w:t>Lorsque le créancier a reçu une cédule hypothécaire comme propriétaire fidu- ciaire aux fins de garantie (garantie fiduciaire; Sicherungsübereignung), on distin- gue alors la créance abstraite garantie par le gage immobilier, incorporée dans la cédule hypothécaire, et la créance causale résultant de la relation de base, en géné- ral un contrat de prêt, pour laquelle la cédule a été remise en garantie (arrêt du Tribunal fédéral 5A_122/2009 consid. 3.1 destiné à la publication). Le créancier est titulaire des deux créances qui sont liées juridiquement par la convention de fi- ducie réalisant le principe de base de la garantie fiduciaire selon lequel le créan- cier ne peut utiliser les droits de la cédule hypothécaire que dans les limites de ce qu'exige la garantie de la créance causale (WEISS, Die gesetzliche Verankerung des Sicherungsübereignung - eine kritische Auseinandersetzung mit dem bundes- rätlichen Entwurf zum neuen Schuldbrief, RJB 2009, p. 125 ss, p. 127; KAMERZIN, Le contrat constitutif de cédule hypothécaire, 2003, n. 189; FOËX, Les actes de disposition sur les cédules hypothécaires, in Les gages immobiliers : constitution volontaire et réalisation forcée, 1999, p. 113 ss, p. 121; DE GOTTRAU, Transfert de propriété et cession à fin de garantie, in Sûretés et ga- ranties bancaires, 1997, p. 173 ss, p. 176). Ces limitations n'ont d'effets qu'entre les parties (WEISS, op. cit., p. 127; FOËX, op. cit., p. 124). De plus, la garantie offerte par le transfert de propriété fiduciaire ne constitue pas un droit accessoire au sens de l'art. 170 CO (WEISS, op. cit., p. 127; BAUER, Commentaire bâlois, 2007, n. 34 ad remarques introductives aux art. 884-894 CC; KAMERZIN, op. cit., n. 191; STEINAUER, op. cit., n. 3052b; FOEX, op. cit., p. 125). Le cession- naire de la créance causale ne peut, par conséquent, déduire de droits du contrat entre le fiduciant et le fiduciaire pour cette raison (STEINAUER, op. cit., n. 3052b). En cas de transfert fiduciaire à titre de garantie, le créancier doit se laisser opposer par le débiteur tous les moyens découlant du rapport de base (STAEHELIN, op. cit., n. 10 et 24 ad art. 855 CC; DE GOTTRAU, op. cit., p. 215), sauf convention contraire (JAQUES, Exécution forcée spéciale des cédules hypothécaires, in BlSchK 2001 p. 201 ss, p. 213). Le tiers-propriétaire peut également faire valoir toutes les exceptions dont le débiteur dispose contre le créancier (art. 845 al. 2 CC; STAEHELIN, Betreibung und Rechtsöffnung beim Schuldbrief, PJA 1994, p. 1255 ss, p. 1268). Ainsi, le créancier ne peut faire valoir la créance cédulaire que si celle-ci et la créance causale sont exigibles (STAEHELIN, op. cit., n. 13 et 20 ad art. 855 CC; KAMERZIN, op. cit., n. 199; FOËX, op. cit., p. 126 ). Sauf convention contraire, la cédule hypothécaire ne peut être dénoncée, par le créancier ou le débiteur, que six mois d'avance et pour le terme usuel assigné au paiement (art. 844 al. 1 CC). Lorsque la cédule hypothécaire a été remise en</w:t>
      </w:r>
    </w:p>
    <w:p>
      <w:r>
        <w:t>- 8/13 -</w:t>
      </w:r>
    </w:p>
    <w:p>
      <w:r>
        <w:t>C/5683/2008 pleine propriété à titre de garantie fiduciaire, les délais de dénonciation convenus dans le contrat de prêt ne valent pas sans autre pour la créance cédulaire (STAEHELIN, op. cit., n. 8 ad art. 844 CC). Il découle de l'art. 831 CC, appli- cable aux cédules hypothécaires par renvoi de l'art. 845 al. 1 CC, qu'afin de don- ner la possibilité au tiers-propriétaire du gage de faire valoir ses droits selon l'art. 827 CC la dénonciation de la cédule n'est efficace que si elle est notifiée éga- lement au tiers-propriétaire (STAEHELIN, op. cit., n. 1 ad art. 831 CC). La dénonciation de la cédule hypothécaire est une manifestation de volonté uni- latérale sujette à réception (STAEHELIN, op. cit., n. 4 ad art. 844 CC). Elle déploie ses effets également à l'égard du successeur juridique à titre singulier du créancier (LEEMANN, op. cit., n. 18 ad art 844 CC). Elle prend effet au moment où elle parvient à son destinataire. Son auteur ne peut la retirer que conformément à l'art. 9 al. 1 CO, ce qui suppose que le retrait parvienne au destinataire avant la dénonciation (ATF 128 III 70 consid. 2 = SJ 2002 I p. 336; arrêts du Tribunal fédéral 4C.83/2007 consid. 4.2 et 4C.359/2006 consid. 5). Hormis ce cas, elle ne peut être retirée qu'avec le consentement de ce dernier (LEEMANN, op. cit., n. 19 ad art. 844 CC), ce qui est conforme au principe selon lequel qu'afin d'assurer une situation juridique claire dans l'intérêt de la partie adverse, l'exercice d'un droit formateur est en principe inconditionnel et irrévocable (ATF 128 III 70 consid. 2 = SJ 2002 I p. 336; arrêt du Tribunal fédéral 4C.321/2005 consid. 5.2).</w:t>
      </w:r>
    </w:p>
    <w:p>
      <w:r>
        <w:rPr>
          <w:b/>
        </w:rPr>
        <w:t>E. 3.3</w:t>
      </w:r>
    </w:p>
    <w:p>
      <w:r>
        <w:t>En l'espèce, il n'est pas contesté que la banque D.______ a dénoncé au remboursement les cédules hypothécaires litigieuses à l'égard des époux B-C et de l'intimé. Ainsi qu'il a été exposé, la dénonciation à l'égard de ce dernier est également opposable à l'appelant qui succède en tant que créancier cédulaire à la banque D.______. L'appelant n'allègue pas qu'un retrait de cette dénonciation aurait été accepté par l'intimé. Il s'ensuit que les créances cédulaires sont exigibles. C'est en vain que l'appelant se prévaut du terme de remboursement du prêt qu'il a conclu avec B______. En effet, cette convention n'a d'effet que inter partes, si bien que l'échéance du prêt convenu n'est pas opposable à l'intimé. En tout état de cause, l'interprétation de cette convention ne permet pas de retenir que la réelle et commune intention des cocontractants était de faire concorder l'échéance de la créance cédulaire avec celle du prêt. Au contraire, dès lors que la convention réservait à l'appelant le droit de requérir, en tout temps, la poursuite en réalisation de gage s'il estimait que les cédules ne constituaient plus une garantie suffisante, il pouvait faire valoir les créances cédulaires avant l'exigibilité du prêt. Il s'ensuit que la réelle et commune intention des parties à la convention était de ne pas subordonner l'exigibilité de la créance cédulaire à celle de la créance causale. Le fait que l'intimé se soit engagé dans le cadre de la présente procédure à respec- ter la convention de prêt conclue entre B______ et l'appelant, en déclarant</w:t>
      </w:r>
    </w:p>
    <w:p>
      <w:r>
        <w:t>- 9/13 -</w:t>
      </w:r>
    </w:p>
    <w:p>
      <w:r>
        <w:t>C/5683/2008 reprendre la créance de ce dernier ne change rien à ce qui précède. En effet, l'offre de l'intimé n'était formulée que pour le cas où les cédules hypothécaires lui étaient remises. Enfin, l'appelant perd de vue que l'exception de l'inexigibilité de la créance de base ne peut être soulevée que par le débiteur et le tiers-propriétaire afin de s'opposer au recouvrement de la créance cédulaire par le créancier, si bien qu'il ne peut pas se prévaloir de l'inexigibilité de la créance causale. Pour les motifs qui précèdent et ainsi que l'a justement retenu le premier juge, les créances cédulaires étaient exigibles et l'intimé était fondé à proposer leur rem- boursement pour obtenir leur restitution.</w:t>
      </w:r>
    </w:p>
    <w:p>
      <w:r>
        <w:rPr>
          <w:b/>
        </w:rPr>
        <w:t>E. 4</w:t>
      </w:r>
    </w:p>
    <w:p>
      <w:r>
        <w:t>A l'instar du débiteur, le tiers-propriétaire du gage ne doit prester que trait pour trait pour la restitution du titre (cf. supra consid. 3.1). Par conséquent, l'intimé ayant conclu à la restitution des cédules hypothécaires litigieuses moyennant le paiement de la somme de 1'388'438 fr. 50 qui n'a pas été contestée par l'appelant, le Tribunal a, avec raison, fait droit à ses conclusions. Le jugement entrepris sera ainsi confirmé sur ce point.</w:t>
      </w:r>
    </w:p>
    <w:p>
      <w:r>
        <w:rPr>
          <w:b/>
        </w:rPr>
        <w:t>E. 5</w:t>
      </w:r>
    </w:p>
    <w:p>
      <w:r>
        <w:t>L'intimé sollicite l'adjonction au dispositif querellé de son engagement de res- pecter les dispositions du contrat de prêt conclu entre B______ et l'appelant dont il reprend la créance.</w:t>
      </w:r>
    </w:p>
    <w:p>
      <w:r>
        <w:rPr>
          <w:b/>
        </w:rPr>
        <w:t>E. 5.1</w:t>
      </w:r>
    </w:p>
    <w:p>
      <w:r>
        <w:t>Selon l'art. 154 let. a LPC, il y a lieu à révision d'un jugement lorsqu'il existe des contrariétés dans ses dispositions. Ce cas de révision vise également la contra- diction entre les considérants et le dispositif (BERTOSSA/GAILLARD/- GUYET/SCHMIDT, op. cit., n. 10 ad art. 154). Le principe de l'indépendance des voies de recours permet de recourir en révision concurremment avec un autre recours. Il n'existe pas de règle générale de sub- sidiarité. Il faut néanmoins que les conditions de recevabilité respectives soient réalisées pour chaque voie de droit. L'appelant a donc un libre choix entre la révision, devant le tribunal qui a rendu la décision, et l'appel, devant l'instance su- périeure. Cette absence de règle générale est considérée comme une solution non formaliste qui permet de ne pas surcharger le débat judiciaire (ACJC/1402/2007 consid. 2; BERTOSSA/GAILLARD/GUYET/SCHMIDT, op. cit., n. 4 ad art. 154).</w:t>
      </w:r>
    </w:p>
    <w:p>
      <w:r>
        <w:rPr>
          <w:b/>
        </w:rPr>
        <w:t>E. 5.2</w:t>
      </w:r>
    </w:p>
    <w:p>
      <w:r>
        <w:t>En l'espèce, le dispositif querellé ne donne pas acte à l'intimé de son enga- gement de respecter les dispositions du contrat de prêt conclu entre B______ et l'appelant alors que, selon les considérants du jugement entrepris, il convenait de le faire. Par conséquent, le chiffre 1 du dispositif querellé sera complété en tant qu'il sera donné acte à l'intimé de son engagement de respecter les dispositions</w:t>
      </w:r>
    </w:p>
    <w:p>
      <w:r>
        <w:t>- 10/13 -</w:t>
      </w:r>
    </w:p>
    <w:p>
      <w:r>
        <w:t>C/5683/2008 dudit contrat. En revanche, les considérants du jugement n'y faisant pas référence, le complément ne portera pas sur la reprise de la créance de l'appelant résultant du prêt, ce qui est au demeurant exclu en l'absence d'une cession écrite.</w:t>
      </w:r>
    </w:p>
    <w:p>
      <w:r>
        <w:rPr>
          <w:b/>
        </w:rPr>
        <w:t>E. 6</w:t>
      </w:r>
    </w:p>
    <w:p>
      <w:r>
        <w:t>L'intimé a sollicité la condamnation de l'appelant à lui rembourser les honoraires en 2'657 fr. 70 de l'huissier judiciaire chargé d'exécuter l'ordonnance sur mesures provisionnelles du 1er février 2008.</w:t>
      </w:r>
    </w:p>
    <w:p>
      <w:r>
        <w:rPr>
          <w:b/>
        </w:rPr>
        <w:t>E. 6.1</w:t>
      </w:r>
    </w:p>
    <w:p>
      <w:r>
        <w:t>Lorsque le droit de procédure civile permet de dédommager la partie de tous les frais nécessaires et indispensables qui lui ont été occasionnés dans un procès, seul ce droit est applicable et ne laisse pas place à une action civile ultérieure. A l'inverse, dans la mesure où les dépens prévus par le droit de procédure civile can- tonal ne couvrent pas ces frais, ils constituent un élément du dommage que l'on peut faire valoir dans la cadre d'une action en responsabilité civile (arrêt du Tribunal fédéral 4C.11/2003 consid. 5.1 = Pra 2004 no 26; arrêt du Tribunal fédéral 4C.80/1995 consid. 2 = SJ 1996 p. 299; ATF 117 II 394 consid. 3a = JdT 1992 I p. 550; ATF 117 II 101 consid. 5 = SJ 1991 p. 576). Ainsi, si l’instance a été précédée d’une procédure provisionnelle, les dépens exposés à cette occasion sont réputés avoir été liquidés dans le cadre de cette procédure distincte. Le règle- ment des dépens ne peut être renvoyé à un autre procès, même en matière provi- sionnelle (BERTOSSA/GAILLARD/GUYET/SCHMIDT, op. cit., n. 1 ad art. 181). Par ailleurs, les frais directement liés aux démarches exigées pour permettre l'exé- cution du jugement font partie des dépens. L'exécution d'une ordonnance de me- sures provisionnelles implique en règle générale la mise en œuvre d'un huissier ju- diciaire qui y procède par une sommation (art. 473 al. 2 LPC). Ainsi, les dépens comprennent notamment les émoluments des huissiers fixés par le règlement du 31 octobre 1984 qui se rapportent à l'exécution du jugement (art. 181 al. 1 et 2 let. b LPC, BERTOSSA/GAILLARD/GUYET/SCHMIDT, n. 2 et 3 ad art. 181, n. 9 ad art. 326).</w:t>
      </w:r>
    </w:p>
    <w:p>
      <w:r>
        <w:rPr>
          <w:b/>
        </w:rPr>
        <w:t>E. 6.2</w:t>
      </w:r>
    </w:p>
    <w:p>
      <w:r>
        <w:t>En l'espèce, selon l'ordonnance sur mesures provisionnelles du 1er février 2008, l'appelant a été condamné aux dépens. Ceux-ci incluant les honoraires de l'huissier judiciaire relatifs à l'exécution de cette ordonnance, l'intimé n'est pas fondé à réclamer leur remboursement dans l'instance au fond consécutive aux mesures provisionnelles. Il s'ensuit que le jugement querellé sera réformé en conséquence.</w:t>
      </w:r>
    </w:p>
    <w:p>
      <w:r>
        <w:rPr>
          <w:b/>
        </w:rPr>
        <w:t>E. 7</w:t>
      </w:r>
    </w:p>
    <w:p>
      <w:r>
        <w:t>L'intimé sollicite une indemnité de procédure de première instance de 50'000 fr.</w:t>
      </w:r>
    </w:p>
    <w:p>
      <w:r>
        <w:rPr>
          <w:b/>
        </w:rPr>
        <w:t>E. 7.1</w:t>
      </w:r>
    </w:p>
    <w:p>
      <w:r>
        <w:t>Il découle de l'art. 176 al. 1 CC que la partie, qui succombe, est condamnée aux dépens, lesquels comprennent une indemnité de procédure (art. 181 al. 1 LPC). Selon l'art. 181 al. 3 LPC, l'indemnité de procédure est fixée en équité par</w:t>
      </w:r>
    </w:p>
    <w:p>
      <w:r>
        <w:t>- 11/13 -</w:t>
      </w:r>
    </w:p>
    <w:p>
      <w:r>
        <w:t>C/5683/2008 le juge, en tenant compte notamment de l'importance de la cause, de ses diffi- cultés, de l'ampleur de la procédure et de frais éventuels, non prévus à l'al. 2. Cette liste n'est cependant pas exhaustive et le juge peut également se fonder sur les cir- constances évoquées à l'art. 34 de la loi sur la profession d'avocat (travail effectué, responsabilité assumée, résultat obtenu, situation des parties) et sur les principes jurisprudentiels admis par le Tribunal fédéral (BERTOSSA/GAILLARD/- GUYET/SCHMIDT, op. cit. n. 4 ad art. 181). Cette ressemblance dans le mode d'évaluation ne confère cependant pas à la partie qui peut y prétendre le droit d'ob- tenir une indemnité de procédure couvrant l'ensemble des honoraires de son avocat. L'art. 181 al. 4 LPC ne parle du reste que de "participation". L'indemnité de procédure n'a, en ce sens, qu'un caractère approximatif. L'idée majeure qui se dégage de ces principes est qu'il doit exister entre la rémunération de l'avocat d'une part, et les prestations fournies, ainsi que la responsabilité encourue d'autre part, un rapport raisonnable. Par conséquent, le juge doit la fixer en équité, en s'inspirant des critères reconnus en la matière (arrêt du Tribunal fédéral 2C_25/2008 consid. 4.2.1 et 4.2.2 = SJ 2008 I p. 481). La détermination du mon- tant de l'indemnité relevant de la libre appréciation du juge, elle ne sera revue qu'en cas d'arbitraire (BERTOSSA/GAILLARD/GUYET/SCHMIDT, op. cit., n. 4 ad art. 181). Dans les affaires pécuniaires, l'indemnité de procédure peut être généralement fixée, en première instance, entre 5 et 10% du montant litigieux dans les causes ordinaires; cette règle n'est cependant pas absolue. Plus la valeur litigieuse est éle- vée, plus le pourcentage déterminant doit diminuer pour que la rémunération de l'avocat reste dans un rapport raisonnable avec les prestations fournies (arrêt du Tribunal fédéral 2C_25/2008 consid. 4.2.3 = SJ 2008 I p. 481). La règle du pour- centage ne s'avère ainsi plus adaptée lorsque la valeur litigieuse est supérieure à un million de francs (CHAIX, L'indemnité de procédure au sens de l'art. 181 de la loi de procédure civile genevoise, in : Défis de l'avocat au XXIe siècle, Mélanges en l'honneur de Madame le Bâtonnier Dominique Burger, 2008, p. 354).</w:t>
      </w:r>
    </w:p>
    <w:p>
      <w:r>
        <w:rPr>
          <w:b/>
        </w:rPr>
        <w:t>E. 7.2</w:t>
      </w:r>
    </w:p>
    <w:p>
      <w:r>
        <w:t>En l'espèce, la cause ne revêtait pas de complexité s'agissant des faits. Bien que les problèmes juridiques présentaient un certaine sophistication, la partie de la demande consacrée au droit est sommaire. La procédure de première instance a occasionné un échange d'écriture, une audience de comparution personnelle des parties, hormis les audiences concernant l'administration de la procédure. Par ailleurs, à teneur de l'ordonnance du 9 juin 2009 du Président de la Cour de céans, confirmée par arrêt du Tribunal fédéral du 2 novembre 2009, la somme totale des créances cédulaires et la somme proposée pour leur remboursement représentaient la valeur litigieuse qui se situe ainsi entre 1'359'000 fr. et 1'388'438 fr. 50. En outre, l'objectif visé par l'appelant au travers de son action était de supprimer le risque d'une réalisation forcée de ses immeubles.</w:t>
      </w:r>
    </w:p>
    <w:p>
      <w:r>
        <w:t>- 12/13 -</w:t>
      </w:r>
    </w:p>
    <w:p>
      <w:r>
        <w:t>C/5683/2008 Au vu de ce qui précède, même si l'activité du conseil de l'appelant a été peu développée en première instance, l'indemnité de procédure de 3'000 fr. allouée par le premier juge est manifestement insuffisante compte tenu de la valeur litigieuse et de l'enjeu de la procédure, ainsi que la responsabilité de l'avocat qui en découle. Dans la mesure où l'appelant succombe dans les deux instances pour l'essentiel, la Cour fera masse des dépens qui comprendront une unique indemnité de procédure de 15'000 fr., compte tenu de l'activité déployée par le conseil de l'intimé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