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ACJC/1050/2023 vom 23. August 2023</w:t>
      </w:r>
    </w:p>
    <w:p>
      <w:r>
        <w:t>GE Cour de justice, 2023-08-23, FR</w:t>
      </w:r>
    </w:p>
    <w:p>
      <w:r>
        <w:rPr>
          <w:b/>
        </w:rPr>
        <w:t xml:space="preserve">Quelle: </w:t>
      </w:r>
      <w:r>
        <w:t>https://mcp.opencaselaw.ch/entscheid/ge_gerichte_ACJC_1050_2023</w:t>
      </w:r>
    </w:p>
    <w:p>
      <w:r>
        <w:t>FR: GE_GERICHTE ACJC/1050/2023 du 23 août 2023</w:t>
      </w:r>
    </w:p>
    <w:p>
      <w:r>
        <w:t>IT: GE_GERICHTE ACJC/1050/2023 del 23 agosto 2023</w:t>
      </w:r>
    </w:p>
    <w:p>
      <w:pPr>
        <w:pStyle w:val="Heading2"/>
      </w:pPr>
      <w:r>
        <w:t>Volltext</w:t>
      </w:r>
    </w:p>
    <w:p>
      <w:r>
        <w:t>Le présent arrêt est communiqué aux parties, par plis recommandés du 23 août 2023</w:t>
      </w:r>
    </w:p>
    <w:p>
      <w:r>
        <w:t>REPUBLIQUE ET</w:t>
      </w:r>
    </w:p>
    <w:p>
      <w:r>
        <w:t>CANTON DE GENEVE POUVOIR JUDICIAIRE C/19596/2022 ACJC/1050/2023 ARRÊT DE LA COUR DE JUSTICE Chambre civile DU LUNDI 21 AOÛT 2023</w:t>
      </w:r>
    </w:p>
    <w:p>
      <w:r>
        <w:t>Entre Madame A______, domiciliée ______, appelante d’une ordonnance rendue par la 6ème Chambre du Tribunal de première instance de ce canton le 25 janvier 2023, agissant par Me Tania SANCHEZ WALTER, avocate, SWDS Avocats, rue du Conseil-Général 4, case postale 412, 1211 Genève 4, en l'Étude de laquelle elle fait élection de domicile, et Monsieur B______, domicilié ______, intimé, agissant par Me Elsa BAUD-LAVIGNE, avocate, Keppeler Avocats, rue Ferdinand-Hodler 15, case postale 6090, 1211 Genève 6, en l'Étude de laquelle il fait élection de domicile.</w:t>
      </w:r>
    </w:p>
    <w:p>
      <w:r>
        <w:t>- 2/3 -</w:t>
      </w:r>
    </w:p>
    <w:p>
      <w:r>
        <w:t>C/19596/2022 Vu, EN FAIT, l'appel formé par A______ contre l’ordonnance OTPI/57/2023 rendue le 25 janvier 2023 par le Tribunal de première instance dans la cause C/19596/2022 l'opposant à B______; Attendu que par courrier du 20 juillet 2023, déposé le 21 juillet 2023, les parties ont informé la Cour avoir entrepris des discussions afin de déposer des conclusions d’accord sur mesures protectrices de l’union conjugale par-devant le Tribunal de première instance pour ratification et ont sollicité la suspension de la procédure; Considérant, EN DROIT, que selon l'art. 126 CPC, le tribunal peut ordonner la suspension de la procédure si des motifs d'opportunité le commandent; Que tel est le cas en l'espèce, au vu des pourparlers transactionnels entre les parties, de sorte que la suspension de la procédure sera ordonnée. Que les frais de la présente décision seront renvoyés à la décision finale (art. 104 CPC). * * * * *</w:t>
      </w:r>
    </w:p>
    <w:p>
      <w:r>
        <w:t>- 3/3 -</w:t>
      </w:r>
    </w:p>
    <w:p>
      <w:r>
        <w:t>C/19596/2022</w:t>
      </w:r>
    </w:p>
    <w:p>
      <w:r>
        <w:t>PAR CES MOTIFS, La Chambre civile : Ordonne la suspension de la procédure C/19596/2022. Dit qu'elle sera reprise à la requête de la partie la plus diligente. Dit qu’il sera statué sur les frais avec la décision finale.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à la violation des droits constitutionnels.</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